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rFonts w:ascii="Courier New" w:hAnsi="Courier New" w:cs="Courier New"/>
          <w:sz w:val="20"/>
          <w:szCs w:val="20"/>
        </w:rPr>
      </w:pPr>
      <w:bookmarkStart w:id="0" w:name="_Hlk46997595"/>
      <w:r>
        <w:rPr>
          <w:rFonts w:ascii="Courier New" w:hAnsi="Courier New"/>
          <w:sz w:val="20"/>
          <w:szCs w:val="20"/>
        </w:rPr>
        <w:t>1. ------IND- 2020 0485 L-- HU- ------ 20200812 --- --- PROJET</w:t>
      </w:r>
    </w:p>
    <w:bookmarkEnd w:id="0"/>
    <w:p w14:paraId="064DCE1A" w14:textId="2EE2449E"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szCs w:val="24"/>
        </w:rPr>
        <w:t>2017. március 21-i törvény a csomagolásról és a csomagolási hulladékról</w:t>
      </w:r>
    </w:p>
    <w:p w14:paraId="71E8730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szCs w:val="24"/>
        </w:rPr>
        <w:t>Harmonizált szöveg</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szCs w:val="24"/>
          <w:u w:val="single"/>
        </w:rPr>
        <w:t>1. cikk Célkitűzések</w:t>
      </w:r>
    </w:p>
    <w:p w14:paraId="20EDAC04" w14:textId="77777777" w:rsidR="000147DB" w:rsidRPr="003E7524" w:rsidRDefault="000147DB" w:rsidP="000147DB">
      <w:pPr>
        <w:spacing w:beforeLines="100" w:before="240" w:after="240" w:line="240" w:lineRule="auto"/>
        <w:jc w:val="both"/>
        <w:rPr>
          <w:rFonts w:eastAsia="Calibri" w:cs="TimesLTStd-Roman"/>
          <w:color w:val="FF0000"/>
          <w:sz w:val="24"/>
          <w:szCs w:val="24"/>
        </w:rPr>
      </w:pPr>
      <w:r>
        <w:rPr>
          <w:color w:val="FF0000"/>
          <w:sz w:val="24"/>
          <w:szCs w:val="24"/>
        </w:rPr>
        <w:t> Ez a törvény a körforgásos gazdaságra való áttéréshez való hozzájárulás érdekében olyan intézkedéseket ír elő, amelyek elsődleges célként a csomagolási hulladékok megelőzését, valamint további alapelvként a csomagolások újrafelhasználását és újrafelhasználásra való előkészítését, a csomagolási hulladékok újrafeldolgozását és egyéb formában történő hasznosítását, és ezáltal a hulladékok végső ártalmatlanításának csökkentését célozzák.</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bCs/>
        </w:rPr>
        <w:t xml:space="preserve">2. cikk </w:t>
      </w:r>
      <w:r>
        <w:rPr>
          <w:b/>
          <w:bCs/>
          <w:iCs/>
        </w:rPr>
        <w:t>Hatály</w:t>
      </w:r>
    </w:p>
    <w:p w14:paraId="10EC3FDA" w14:textId="77777777" w:rsidR="000147DB" w:rsidRPr="003E7524" w:rsidRDefault="000147DB" w:rsidP="000147DB">
      <w:pPr>
        <w:spacing w:after="0" w:line="240" w:lineRule="auto"/>
        <w:jc w:val="both"/>
        <w:rPr>
          <w:rFonts w:eastAsia="Times New Roman" w:cs="Arial"/>
        </w:rPr>
      </w:pPr>
      <w:r>
        <w:t>Ez a törvény vonatkozik minden, a luxemburgi piacon forgalomba hozott csomagolásra és csomagolási hulladékra, amelyek az iparágak, vállalkozások, irodák, műhelyek, szolgáltatók, háztartások szintjén vagy bármilyen más szinten kerülnek felhasználásra vagy hulladékba, függetlenül attól, hogy milyen anyagból készültek.</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szCs w:val="24"/>
          <w:u w:val="single"/>
        </w:rPr>
        <w:t>3. cikk Fogalommeghatározások</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E törvény alkalmazásában:</w:t>
      </w:r>
    </w:p>
    <w:p w14:paraId="51BA376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 „gazdasági szereplők”: a csomagolások kapcsán a csomagolóanyagokat beszállítók, gyártók, feldolgozók, töltők és felhasználók, importőrök, kereskedők és forgalmazók, állami hatóságok és állami szervek;</w:t>
      </w:r>
    </w:p>
    <w:p w14:paraId="6FED5C4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 „környezetvédelmi megállapodás”: minden olyan hivatalos megállapodás, amely a környezetvédelemért felelős miniszter (a továbbiakban: miniszter) és a csomagolásért felelős szereplők vagy jóváhagyott szervezetek között jött létre, és amely nyitott minden gazdasági szereplő számára, aki a megállapodásban rögzített feltételeknek eleget kíván tenni az 1. cikkben leírt célok megvalósítása érdekében;</w:t>
      </w:r>
    </w:p>
    <w:p w14:paraId="7FF966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3. „egyedi csomagolás”: az élelmiszerek olyan csomagolóanyagba vagy tárolótartályba történő behelyezése, amely közvetlenül érintkezik a szóban forgó élelmiszerrel, valamint maga az egyedi csomagoláshoz használt anyag vagy tárolótartály;</w:t>
      </w:r>
    </w:p>
    <w:p w14:paraId="1DD8A02E" w14:textId="77777777" w:rsidR="000147DB" w:rsidRPr="00471E09"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4. „csomagolási hulladék”: a hulladékokról és az erőforrásokról szóló, 2012. március 21-én módosított törvény (a továbbiakban: 2012. március 21-i törvény) 4. cikkében a hulladék fogalmának meghatározása alá tartozó valamennyi csomagolás vagy csomagolóanyag, a gyártásból származó maradékanyagok kivételével;</w:t>
      </w:r>
    </w:p>
    <w:p w14:paraId="1A85C693"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szCs w:val="24"/>
        </w:rPr>
        <w:lastRenderedPageBreak/>
        <w:t>5. „háztartási csomagolási hulladék”: a 2012. március 21-i törvényben foglaltak szerint a háztartási települési hulladék kategóriájába tartozó csomagolási hulladék;</w:t>
      </w:r>
    </w:p>
    <w:p w14:paraId="191FC24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6. „nem háztartási csomagolási hulladék”: a 2012. március 21-i törvényben foglaltak szerint nem a háztartási települési hulladék kategóriájába tartozó csomagolási hulladék;</w:t>
      </w:r>
    </w:p>
    <w:p w14:paraId="726D059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7. „csomagolás”: bármilyen jellegű anyagból készült minden olyan termék, amely az alapanyagoktól a késztermékekig az adott áruk tárolására és védésére szolgál, lehetővé téve ezek kezelését, és szállítását a termelőtől a fogyasztóig vagy a felhasználóig, valamint az áruknak megjelenést biztosít.</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E30D60"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E30D60">
        <w:rPr>
          <w:color w:val="FF0000"/>
          <w:spacing w:val="-4"/>
          <w:sz w:val="24"/>
          <w:szCs w:val="24"/>
        </w:rPr>
        <w:t>Csomagolásnak tekintendő továbbá minden olyan eldobható cikk, amely ugyanilyen célokra szolgál.</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A csomagolás kizárólag a következőket jelenti:</w:t>
      </w:r>
    </w:p>
    <w:p w14:paraId="5E80CA94" w14:textId="77777777" w:rsidR="000147DB" w:rsidRPr="00E30D60" w:rsidRDefault="000147DB" w:rsidP="000147DB">
      <w:pPr>
        <w:autoSpaceDE w:val="0"/>
        <w:autoSpaceDN w:val="0"/>
        <w:adjustRightInd w:val="0"/>
        <w:spacing w:after="0" w:line="240" w:lineRule="auto"/>
        <w:ind w:left="720"/>
        <w:jc w:val="both"/>
        <w:rPr>
          <w:rFonts w:eastAsia="Calibri" w:cs="TimesLTStd-Roman"/>
          <w:color w:val="FF0000"/>
          <w:spacing w:val="-4"/>
          <w:sz w:val="24"/>
          <w:szCs w:val="24"/>
        </w:rPr>
      </w:pPr>
      <w:r w:rsidRPr="00E30D60">
        <w:rPr>
          <w:color w:val="FF0000"/>
          <w:spacing w:val="-4"/>
          <w:sz w:val="24"/>
          <w:szCs w:val="24"/>
        </w:rPr>
        <w:t>a) értékesítési csomagolás vagy elsődleges csomagolás, azaz olyan csomagolás, amely egy értékesítési egységet képez a végfelhasználó vagy fogyasztó számára az értékesítés helyén;</w:t>
      </w:r>
    </w:p>
    <w:p w14:paraId="0DE873C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b) csoportos csomagolás vagy másodlagos csomagolás, azaz olyan csomagolás, amely egy bizonyos számú értékesítési egységből álló csoportot képez az értékesítés helyén, függetlenül attól, hogy a végfelhasználó vagy fogyasztó számára ebben az állapotban kerül értékesítésre, vagy csupán az értékesítési hely polcainak felöltésére használt; ez a csomagolás a termékről eltávolítható a termék jellemzőinek megváltozása nélkül;</w:t>
      </w:r>
    </w:p>
    <w:p w14:paraId="29AF1F65" w14:textId="77777777" w:rsidR="000147DB" w:rsidRPr="00E30D60" w:rsidRDefault="000147DB" w:rsidP="000147DB">
      <w:pPr>
        <w:autoSpaceDE w:val="0"/>
        <w:autoSpaceDN w:val="0"/>
        <w:adjustRightInd w:val="0"/>
        <w:spacing w:after="0" w:line="240" w:lineRule="auto"/>
        <w:ind w:left="720"/>
        <w:jc w:val="both"/>
        <w:rPr>
          <w:rFonts w:eastAsia="Calibri" w:cs="TimesLTStd-Roman"/>
          <w:color w:val="FF0000"/>
          <w:spacing w:val="-4"/>
          <w:sz w:val="24"/>
          <w:szCs w:val="24"/>
        </w:rPr>
      </w:pPr>
      <w:r w:rsidRPr="00E30D60">
        <w:rPr>
          <w:color w:val="FF0000"/>
          <w:spacing w:val="-4"/>
          <w:sz w:val="24"/>
          <w:szCs w:val="24"/>
        </w:rPr>
        <w:t>c) szállítási csomagolás vagy harmadlagos csomagolás, azaz olyan csomagolás, amely egy bizonyos számú értékesítési egység vagy csoportos csomagolás kezelését és szállítását hivatott megkönnyíteni, azok fizikai kezelése és a szállításból eredő sérülések elkerülése érdekében. A szállítási csomagolás nem vonatkozik a közúti, vasúti, vízi és légi szállítási konténerekre.</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A „csomagolás” fogalmának meghatározásának többek között az alábbi szempontokon kell alapulnia:</w:t>
      </w:r>
    </w:p>
    <w:p w14:paraId="0BE24D6D"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 Egy cikk akkor minősül csomagolásnak, ha megfelel a fent említett meghatározásnak, függetlenül a csomagolás esetleges egyéb funkcióitól, kivéve, ha a cikk a termék szerves részét képezi, és szükséges a termék tárolására, összetartására vagy megőrzésére annak teljes életciklusa során, valamint, ha az összes alkotóelem együttesen használandó fel, fogyasztandó el vagy ártalmatlanítandó;</w:t>
      </w:r>
    </w:p>
    <w:p w14:paraId="03C118C8"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 Az értékesítési helyen megtöltésre szánt, vagy az értékesítési helyen értékesített, megtöltött vagy megtöltésre szánt, egyszer használatos cikkek csomagolásnak minősülnek, mivel azok csomagolás funkcióját töltik be, és szolgáltatás során használt csomagolásnak minősülnek;</w:t>
      </w:r>
    </w:p>
    <w:p w14:paraId="21E05D6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iii. A csomagolás alkotórészei vagy a csomagolás részét képező kiegészítő elemek a csomagolás részének tekintendők. A termékre akasztott vagy közvetlenül rögzített kiegészítő elemek, amelyek csomagolás funkcióját látják el, szintén csomagolásnak minősülnek, kivéve, ha azok a termék szerves részét képezik, és az összes alkotóelem együttesen fogyasztandó el vagy ártalmatlanítandó.</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3E7524" w:rsidRDefault="000147DB" w:rsidP="00E30D60">
      <w:pPr>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Az Európai Bizottság jogi aktusaival a 19. cikk (2) bekezdésének és 21a. cikknek megfelelően módosított, a csomagolásról és csomagolási hulladékokról szóló 1994. december 20-i 94/62/EK európai parlamenti és a tanácsi irányelv I. mellékletében felsorolt cikkek példaként szolgálnak a szempontok alkalmazásának tekintetében;</w:t>
      </w:r>
    </w:p>
    <w:p w14:paraId="44FB8E04" w14:textId="77777777" w:rsidR="000147DB" w:rsidRPr="00E30D60"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E30D60">
        <w:rPr>
          <w:color w:val="FF0000"/>
          <w:spacing w:val="-4"/>
          <w:sz w:val="24"/>
          <w:szCs w:val="24"/>
        </w:rPr>
        <w:t>8. „újra felhasználható csomagolás”: olyan csomagolás, amelyet úgy terveztek, alkottak meg és hoztak forgalomba, hogy életciklusa során többször alkalmazható legyen ugyanazon az útvonalon vagy rotációban újra megtöltve vagy az eredetileg tervezett funkciójának megfelelően újrahasználva;</w:t>
      </w:r>
    </w:p>
    <w:p w14:paraId="0184054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9. „összetett csomagolás”: két vagy több különböző rétegből és különböző anyagokból álló csomagolás, amelyeket nem lehet kézzel különválasztani, és egyetlen egységet alkotnak, amely részei egy belső tárolóedény és egy külső burkolat, amelyeket ebben a formában kell megtölteni, tárolni, szállítani és kiüríteni;</w:t>
      </w:r>
    </w:p>
    <w:p w14:paraId="40CA1AE7"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10. „központi kezelés”: olyan rendszer, amelynél egy gyűjtőhelyen újrahasznosítás céljára önkéntesen elhelyezett csomagolási hulladékról egy jóváhagyott szervezet gondoskodik;</w:t>
      </w:r>
    </w:p>
    <w:p w14:paraId="2476E1A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11. „csomagolásihulladék-gazdálkodás”: a hulladékok kezelése a 2012. március 21-i törvény 4. cikkében meghatározottaknak megfelelően;</w:t>
      </w:r>
    </w:p>
    <w:p w14:paraId="7FBC22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12. „csomagolóanyag”: a csomagolást alkotó bármilyen egyszerű vagy összetett, természetes vagy mesterséges eredetű anyag;</w:t>
      </w:r>
    </w:p>
    <w:p w14:paraId="6F8770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13. „piaci forgalmazás”: egy termékkereskedelmi tevékenység keretében történő rendelkezésre bocsátása értékesítés, fogyasztás vagy használat céljára a luxemburgi piacon, akár ellenérték fejében, akár ingyenesen; </w:t>
      </w:r>
    </w:p>
    <w:p w14:paraId="39E8CFEA" w14:textId="77777777" w:rsidR="000147DB" w:rsidRPr="00E30D60" w:rsidRDefault="000147DB" w:rsidP="000147DB">
      <w:pPr>
        <w:autoSpaceDE w:val="0"/>
        <w:autoSpaceDN w:val="0"/>
        <w:adjustRightInd w:val="0"/>
        <w:spacing w:after="0" w:line="240" w:lineRule="auto"/>
        <w:jc w:val="both"/>
        <w:rPr>
          <w:rFonts w:eastAsia="Calibri" w:cs="TimesLTStd-Roman"/>
          <w:color w:val="FF0000"/>
          <w:spacing w:val="-6"/>
          <w:sz w:val="24"/>
          <w:szCs w:val="24"/>
        </w:rPr>
      </w:pPr>
      <w:r w:rsidRPr="00E30D60">
        <w:rPr>
          <w:color w:val="FF0000"/>
          <w:spacing w:val="-6"/>
          <w:sz w:val="24"/>
          <w:szCs w:val="24"/>
        </w:rPr>
        <w:t>14. „forgalomba hozatal”: valamely termék első alkalommal történő forgalmazása a luxemburgi piacon;</w:t>
      </w:r>
    </w:p>
    <w:p w14:paraId="337D071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15. „jóváhagyott szervezet”: a 2012. március 21-i törvénynek megfelelően jóváhagyott jogi személy, aki vállalja a kiterjesztett gyártói felelősség kötelezettségeit; </w:t>
      </w:r>
    </w:p>
    <w:p w14:paraId="3063727E" w14:textId="5A2948D3"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16. „műanyag”: a vegyi anyagok regisztrálásáról, értékeléséről, engedélyezéséről és korlátozásáról (REACH), az Európai Vegyianyag-ügynökség létrehozásáról, az 1999/45/EK irányelv módosításáról, valamint a 793/93/EGK tanácsi rendelet, az 1488/94/EK bizottsági rendelet, a 76/769/EGK tanácsi irányelv, a 91/155/EGK, a 93/67/EGK, a 93/105/EK és a 2000/21/EK bizottsági irányelv hatályon kívül helyezéséről szóló, 2006. december 18-i 1907/2006/EK európai parlamenti és tanácsi rendelet (a továbbiakban: REACH-rendelet) 3. cikkének 5. pontja szerinti polimer, amelyhez adalékanyagok és egyéb anyagok adhatók hozzá, és amely el tudja látni a hordtasakok fő szerkezeti összetevőjének szerepét;</w:t>
      </w:r>
    </w:p>
    <w:p w14:paraId="722C1B32" w14:textId="77777777" w:rsidR="000147DB" w:rsidRPr="00E30D60"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E30D60">
        <w:rPr>
          <w:color w:val="FF0000"/>
          <w:spacing w:val="-4"/>
          <w:sz w:val="24"/>
          <w:szCs w:val="24"/>
        </w:rPr>
        <w:t>17. „szerves újrafeldolgozás”: a csomagolási hulladékok biológiai úton lebomló részeinek kezelése mikroorganizmusok segítségével, ellenőrzött körülmények között végzett aerob (komposztálás) vagy anaerob (biogáztermelés) eljárással, amelynek eredményeként stabilizált szerves talajjavító vagy metán keletkezik. A lerakóhelyen végzett elföldelés nem minősül szerves újrahasznosításnak;</w:t>
      </w:r>
    </w:p>
    <w:p w14:paraId="211C3BAF" w14:textId="77777777" w:rsidR="000147DB" w:rsidRPr="00471E09" w:rsidRDefault="000147DB" w:rsidP="000147DB">
      <w:pPr>
        <w:autoSpaceDE w:val="0"/>
        <w:autoSpaceDN w:val="0"/>
        <w:adjustRightInd w:val="0"/>
        <w:spacing w:after="0"/>
        <w:jc w:val="both"/>
        <w:rPr>
          <w:rFonts w:eastAsia="Calibri" w:cs="TimesLTStd-Roman"/>
          <w:color w:val="FF0000"/>
          <w:sz w:val="24"/>
          <w:szCs w:val="24"/>
        </w:rPr>
      </w:pPr>
      <w:r>
        <w:rPr>
          <w:color w:val="FF0000"/>
          <w:sz w:val="24"/>
          <w:szCs w:val="24"/>
        </w:rPr>
        <w:t>18. „csomagolásért felelős személy”: a Luxemburgi Nagyhercegség területén székhellyel rendelkező vagy nem rendelkező természetes vagy jogi személy, aki szakmai tevékenysége részeként a luxemburgi piacon becsomagolt termékeket hoz forgalomba, az értékesítési módszertől függetlenül, beleértve a fogyasztóvédelmi törvénykönyv L. 222-1 cikkében meghatározott, távollevők közötti szerződések által létrejött értékesítést is.</w:t>
      </w:r>
    </w:p>
    <w:p w14:paraId="532A7F6A" w14:textId="77777777" w:rsidR="000147DB" w:rsidRPr="00E30D60"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E30D60">
        <w:rPr>
          <w:color w:val="FF0000"/>
          <w:spacing w:val="-4"/>
          <w:sz w:val="24"/>
          <w:szCs w:val="24"/>
        </w:rPr>
        <w:t>A szolgáltatás során használt csomagolások esetében a csomagolásért felelős személynek tekintendő minden olyan személy, aki szakmai tevékenysége keretei között és a luxemburgi piacon forgalomba hozás céljával szolgáltatás során használt csomagolásokat gyárt vagy importál;</w:t>
      </w:r>
    </w:p>
    <w:p w14:paraId="2066F3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19. „műanyag hordtasakok”: az áruk vagy termékek eladási helyein a fogyasztók számára biztosított, műanyagból készült füles vagy fül nélküli hordtasakok;</w:t>
      </w:r>
    </w:p>
    <w:p w14:paraId="2892A8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20. „könnyű műanyag hordtasakok”: az 50 mikronnál vékonyabb anyagból készült műanyag hordtasakok;</w:t>
      </w:r>
    </w:p>
    <w:p w14:paraId="1D560F9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21. „nagyon könnyű műanyag hordtasakok”: a 15 mikronnál vékonyabb anyagból készült műanyag hordtasakok,</w:t>
      </w:r>
    </w:p>
    <w:p w14:paraId="099FC67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amelyekre higiéniai okokból van szükség, vagy az ömlesztett élelmiszerek elsődleges csomagolásként szolgálnak, és hozzájárulnak az élelmiszer-pazarlás megelőzéséhez;</w:t>
      </w:r>
    </w:p>
    <w:p w14:paraId="518E14E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22. „oxidatív úton lebomló műanyag hordtasakok”: olyan műanyagból készült hordtasakok, amelyek a műanyagok széttöredezését és kisebb egységekre bomlását katalizáló adalékanyagokat tartalmaznak;</w:t>
      </w:r>
    </w:p>
    <w:p w14:paraId="3F38912D" w14:textId="7CDBAB0E"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23. „betétdíjas rendszer”: olyan visszaváltó rendszer, amelynél a vásárló az általa fizetett pénzösszeget akkor kapja vissza, ha a használt csomagolást visszaviszi;</w:t>
      </w:r>
    </w:p>
    <w:p w14:paraId="7826512C" w14:textId="77777777" w:rsidR="000147DB" w:rsidRPr="00E30D60" w:rsidRDefault="000147DB" w:rsidP="000147DB">
      <w:pPr>
        <w:autoSpaceDE w:val="0"/>
        <w:autoSpaceDN w:val="0"/>
        <w:adjustRightInd w:val="0"/>
        <w:spacing w:after="0" w:line="240" w:lineRule="auto"/>
        <w:jc w:val="both"/>
        <w:rPr>
          <w:rFonts w:eastAsia="Calibri" w:cs="TimesLTStd-Roman"/>
          <w:color w:val="FF0000"/>
          <w:spacing w:val="-6"/>
          <w:sz w:val="24"/>
          <w:szCs w:val="24"/>
        </w:rPr>
      </w:pPr>
      <w:r w:rsidRPr="00E30D60">
        <w:rPr>
          <w:color w:val="FF0000"/>
          <w:spacing w:val="-6"/>
          <w:sz w:val="24"/>
          <w:szCs w:val="24"/>
        </w:rPr>
        <w:t>24. „piaci részesedési arány”: a folyékony élelmiszerek csomagolásának százaléka egy adott időszakban, amelynél a számlálóban az országos piacon fogyasztott, újrahasznosítható csomagolásban forgalomba hozott folyékony élelmiszerek mennyisége szerepel, míg a nevezőben a országos piacon forgalomba hozott és fogyasztott folyékony élelmiszertermékek teljes mennyisége áll;</w:t>
      </w:r>
    </w:p>
    <w:p w14:paraId="7104F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25. „újrafeldolgozási arány”: a csomagolási hulladékok százaléka egy adott időpontban, amelynél a számlálóban a ténylegesen újrafeldolgozott csomagolási hulladékok tömege szerepel, míg a nevezőben a luxemburgi piacon valamely csomagolásért felelős személy által forgalomba hozott, és az ország területén használt, hasznosítható csomagolások teljes tömege áll.</w:t>
      </w:r>
    </w:p>
    <w:p w14:paraId="67C77E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Ez a meghatározás nem vonatkozik az e törvény értelmében újra felhasználandó csomagolásokra;</w:t>
      </w:r>
    </w:p>
    <w:p w14:paraId="6B41F5C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26. „hasznosítási arány”: a csomagolási hulladékok százaléka egy adott időpontban, amelynél a számlálóban a ténylegesen hasznosított csomagolási hulladékok tömege szerepel, míg a nevezőben a luxemburgi piacon egy csomagolásért felelős személy által forgalomba hozott, és az ország területén használt, hasznosítható csomagolások teljes tömege áll.</w:t>
      </w:r>
    </w:p>
    <w:p w14:paraId="5C7F69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Ez a meghatározás nem vonatkozik az e törvény értelmében újra felhasználandó csomagolásokra;</w:t>
      </w:r>
    </w:p>
    <w:p w14:paraId="1F021DE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27. „energetikai hasznosítás”: az éghető csomagolási hulladékok energiatermelésre való felhasználása, egyéb hulladékokkal együtt vagy azok nélkül történő égetéssel, és a keletkező hő visszanyerésével;</w:t>
      </w:r>
    </w:p>
    <w:p w14:paraId="2F42A15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Ez a meghatározás nem vonatkozik az e törvény értelmében újra felhasználandó csomagolásokra.</w:t>
      </w:r>
    </w:p>
    <w:p w14:paraId="2A33EF0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Vonatkozik továbbá a „hulladék”, „települési hulladék”, „háztartási települési hulladék”, „nem háztartási települési hulladék”, „hulladékgazdálkodás”, „hulladékgyűjtés”, „szelektív hulladékgyűjtés”, „megelőzés”, „újrafelhasználás”, „újrahasználásra való előkészítés”, „kezelés”, „hasznosítás”, „újrafeldolgozás”, „magas minőségű újrafeldolgozás”, „ártalmatlanítás”, „erőforrás-központ” és „kiterjesztett gyártói felelősségi rendszer” fogalmának 2012. március 21-i törvény 4. cikkében foglalt meghatározása.</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rFonts w:eastAsia="Times New Roman" w:cs="Arial"/>
          <w:b/>
          <w:iCs/>
        </w:rPr>
      </w:pPr>
      <w:r>
        <w:rPr>
          <w:b/>
          <w:iCs/>
        </w:rPr>
        <w:lastRenderedPageBreak/>
        <w:t>4. cikk Megelőzés és újrahasználás, környezetvédelmi megállapodások</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A 9. cikknek megfelelően és a (2) bekezdés sérelme nélkül elfogadott, a csomagolási hulladékok termelését megelőző intézkedéseken túl, a miniszter további környezetvédelmi megállapodásokat köthet, amelyek megfelelnek az 1. cikkben leírt céloknak, és első sorban a csomagolások környezeti hatásának csökkentését, valamint a csomagolási hulladékok termelésének megelőzését célozzák. E megállapodások rendelkezhetnek tájékoztató és figyelemfelkeltő kampányok szervezéséről.</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t>A csomagolási hulladékok és egyéb termékek termelését illetően, a környezetvédelmi megállapodások előmozdíthatják az újra feldolgozott csomagolási hulladékokból származó anyagok használatát azáltal, hogy javítják a piaci feltételeket ezen anyagok számára.</w:t>
      </w:r>
    </w:p>
    <w:p w14:paraId="4FAEAC4C" w14:textId="77777777" w:rsidR="000147DB" w:rsidRPr="003E7524" w:rsidRDefault="000147DB" w:rsidP="000147DB">
      <w:pPr>
        <w:spacing w:after="0" w:line="240" w:lineRule="auto"/>
        <w:jc w:val="both"/>
        <w:rPr>
          <w:rFonts w:eastAsia="Times New Roman" w:cs="Arial"/>
        </w:rPr>
      </w:pPr>
      <w:r>
        <w:t>A folyékony élelmiszerek és egyéb termékek csomagolását illetően a környezetvédelmi megállapodások meghatározhatják az újrahasználható csomagolások előállításának és forgalomba hozatalának előmozdítására vonatkozó feltételeket és szabályokat, és kitűzhetnek a piaci részesedési aránnyal kapcsolatos célokat. Ez a törvény nem sérti a csomagolások újrahasználását biztosító rendszerek fenntartását vagy létrehozását betétdíjas rendszer formájában vagy bármilyen egyéb, az 1. cikkben leírt céloknak megfelelő formában.</w:t>
      </w:r>
    </w:p>
    <w:p w14:paraId="7B14AF7B" w14:textId="77777777" w:rsidR="000147DB" w:rsidRPr="003E7524" w:rsidRDefault="000147DB" w:rsidP="000147DB">
      <w:pPr>
        <w:spacing w:after="0" w:line="240" w:lineRule="auto"/>
        <w:jc w:val="both"/>
        <w:rPr>
          <w:rFonts w:eastAsia="Times New Roman" w:cs="Arial"/>
        </w:rPr>
      </w:pPr>
      <w:r>
        <w:t>(2) Az országos hulladékgazdálkodási terv meghatározhat egyéb megelőzési intézkedéseket, akár tanulmányokat és kísérleti projekteket is, és adott esetben a 2012. március 21-i törvénnyel összhangban létrehozott speciális tervet.</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szCs w:val="24"/>
          <w:u w:val="single"/>
        </w:rPr>
        <w:t xml:space="preserve">5. cikk Csomagolások csökkentése </w:t>
      </w:r>
    </w:p>
    <w:p w14:paraId="2D11A631"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A csomagolások Luxemburg területén történő felhasználásának fenntartható módon történő csökkentése érdekében:</w:t>
      </w:r>
    </w:p>
    <w:p w14:paraId="1921772D" w14:textId="2F6CC734" w:rsidR="000147DB" w:rsidRPr="00471E09" w:rsidRDefault="000147DB" w:rsidP="000147DB">
      <w:pPr>
        <w:pStyle w:val="Liste10"/>
        <w:spacing w:before="240"/>
        <w:ind w:left="360" w:hanging="427"/>
        <w:rPr>
          <w:rFonts w:cs="TimesNewRoman"/>
          <w:color w:val="FF0000"/>
          <w:sz w:val="24"/>
          <w:szCs w:val="24"/>
        </w:rPr>
      </w:pPr>
      <w:r>
        <w:rPr>
          <w:color w:val="FF0000"/>
          <w:sz w:val="24"/>
          <w:szCs w:val="24"/>
        </w:rPr>
        <w:t>1.</w:t>
      </w:r>
      <w:r>
        <w:rPr>
          <w:color w:val="FF0000"/>
          <w:sz w:val="24"/>
          <w:szCs w:val="24"/>
        </w:rPr>
        <w:tab/>
        <w:t>i) 2022. január 1-étől kezdődően, a III. mellékletben felsorolt ​​friss gyümölcsöt és zöldséget, beleértve a hámozott és feldarabolt gyümölcsöket és zöldségeket értékesítő valamennyi kiskereskedelmi üzletben a termékeket részben vagy egészben műanyagból készült csomagolás nélkül kell kihelyezni. Ez a kitétel nem vonatkozik a legalább 1,5 kilogramm tömegű egységekben kiszerelt gyümölcsökre és zöldségekre;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rFonts w:eastAsia="Calibri" w:cs="TimesNewRoman"/>
          <w:color w:val="FF0000"/>
          <w:sz w:val="24"/>
          <w:szCs w:val="24"/>
        </w:rPr>
      </w:pPr>
      <w:r>
        <w:rPr>
          <w:color w:val="FF0000"/>
          <w:sz w:val="24"/>
          <w:szCs w:val="24"/>
        </w:rPr>
        <w:t>2. A könnyű műanyag hordtasakok éves fogyasztási szintje személyenként nem haladhatja meg a kilencven darabot 2019. december 31-éig, és a negyven darabot 2025. december 31-éig. A 3. cikk 5. pontja értelmében ez nem vonatkozik a nagyon könnyű műanyag hordtasakokra;</w:t>
      </w:r>
    </w:p>
    <w:p w14:paraId="6F0972E3" w14:textId="77777777" w:rsidR="000147DB" w:rsidRPr="00E30D60" w:rsidRDefault="000147DB" w:rsidP="000147DB">
      <w:pPr>
        <w:spacing w:beforeLines="100" w:before="240" w:after="240" w:line="240" w:lineRule="auto"/>
        <w:jc w:val="both"/>
        <w:rPr>
          <w:rFonts w:eastAsia="Calibri" w:cs="TimesNewRoman"/>
          <w:color w:val="FF0000"/>
          <w:spacing w:val="-4"/>
          <w:sz w:val="24"/>
          <w:szCs w:val="24"/>
        </w:rPr>
      </w:pPr>
      <w:r w:rsidRPr="00E30D60">
        <w:rPr>
          <w:color w:val="FF0000"/>
          <w:spacing w:val="-4"/>
          <w:sz w:val="24"/>
          <w:szCs w:val="24"/>
        </w:rPr>
        <w:lastRenderedPageBreak/>
        <w:t>3. Az áruk vagy termékek eladási helyén semmilyen műanyag hordtasak nem kapható ingyenesen. A 3. cikk 5. pontja értelmében ez nem vonatkozik a nagyon könnyű műanyag hordtasakokra;</w:t>
      </w:r>
    </w:p>
    <w:p w14:paraId="58896EE4" w14:textId="77777777" w:rsidR="000147DB" w:rsidRPr="003E7524" w:rsidRDefault="000147DB" w:rsidP="002F5A31">
      <w:pPr>
        <w:keepNext/>
        <w:keepLines/>
        <w:spacing w:beforeLines="100" w:before="240" w:after="240" w:line="240" w:lineRule="auto"/>
        <w:jc w:val="both"/>
        <w:rPr>
          <w:rFonts w:cs="TimesNewRoman"/>
          <w:color w:val="FF0000"/>
          <w:sz w:val="24"/>
          <w:szCs w:val="24"/>
        </w:rPr>
      </w:pPr>
      <w:r>
        <w:rPr>
          <w:color w:val="FF0000"/>
          <w:sz w:val="24"/>
          <w:szCs w:val="24"/>
        </w:rPr>
        <w:t xml:space="preserve">4. Az áruk vagy termékek eladási helyén semmilyen, a szolgáltatás során használt csomagolás nem kapható ingyenesen a következő ütemezés szerint: </w:t>
      </w:r>
    </w:p>
    <w:p w14:paraId="2B70078E"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2023. január 1-étől kezdve minden hordtasak, függetlenül attól, hogy milyen anyagból készült;</w:t>
      </w:r>
    </w:p>
    <w:p w14:paraId="03DEAD8E" w14:textId="77777777" w:rsidR="000147DB" w:rsidRPr="00471E09"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2024. január 1-étől, az egyes műanyag termékek környezetre gyakorolt ​​hatásainak értékeléséről szóló ...-i törvény mellékletének A. részében felsorolt, egyszer használatos termékeknél szolgáltatás során használt csomagolások, függetlenül attól, hogy milyen anyagból készültek;</w:t>
      </w:r>
    </w:p>
    <w:p w14:paraId="10B4C155"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2025. január 1-től a szolgáltatás során használt összes csomagolás.</w:t>
      </w:r>
    </w:p>
    <w:p w14:paraId="01699BD2" w14:textId="77777777" w:rsidR="000147DB" w:rsidRPr="00471E09" w:rsidRDefault="000147DB" w:rsidP="000147DB">
      <w:pPr>
        <w:spacing w:beforeLines="100" w:before="240" w:after="240" w:line="240" w:lineRule="auto"/>
        <w:jc w:val="both"/>
        <w:rPr>
          <w:rFonts w:eastAsia="Calibri" w:cstheme="minorHAnsi"/>
          <w:bCs/>
          <w:color w:val="FF0000"/>
          <w:sz w:val="24"/>
          <w:szCs w:val="24"/>
        </w:rPr>
      </w:pPr>
      <w:r>
        <w:rPr>
          <w:color w:val="FF0000"/>
          <w:sz w:val="24"/>
          <w:szCs w:val="24"/>
        </w:rPr>
        <w:t xml:space="preserve">(2) </w:t>
      </w:r>
      <w:r>
        <w:rPr>
          <w:bCs/>
          <w:color w:val="FF0000"/>
          <w:sz w:val="24"/>
          <w:szCs w:val="24"/>
        </w:rPr>
        <w:t xml:space="preserve">Az </w:t>
      </w:r>
      <w:r>
        <w:rPr>
          <w:color w:val="FF0000"/>
          <w:sz w:val="24"/>
          <w:szCs w:val="24"/>
        </w:rPr>
        <w:t xml:space="preserve"> (1)</w:t>
      </w:r>
      <w:r>
        <w:rPr>
          <w:bCs/>
          <w:color w:val="FF0000"/>
          <w:sz w:val="24"/>
          <w:szCs w:val="24"/>
        </w:rPr>
        <w:t xml:space="preserve"> bekezdés 3. és 4. pontjában hivatkozott termékek árának visszatartó erejűnek kell lennie, valamint azt külön és jól láthatóan fel kell tüntetni az eladási helyen és a számlán. A minimális árat környezetvédelmi megállapodásban kell meghatározni.</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u w:val="single"/>
        </w:rPr>
      </w:pPr>
      <w:r>
        <w:rPr>
          <w:color w:val="FF0000"/>
          <w:sz w:val="24"/>
          <w:szCs w:val="24"/>
          <w:u w:val="single"/>
        </w:rPr>
        <w:t>5</w:t>
      </w:r>
      <w:r>
        <w:rPr>
          <w:i/>
          <w:iCs/>
          <w:color w:val="FF0000"/>
          <w:sz w:val="24"/>
          <w:szCs w:val="24"/>
          <w:u w:val="single"/>
        </w:rPr>
        <w:t>a</w:t>
      </w:r>
      <w:r>
        <w:rPr>
          <w:color w:val="FF0000"/>
          <w:sz w:val="24"/>
          <w:szCs w:val="24"/>
          <w:u w:val="single"/>
        </w:rPr>
        <w:t>. cikk Újrafelhasználás </w:t>
      </w:r>
    </w:p>
    <w:p w14:paraId="163598FA" w14:textId="77777777" w:rsidR="000147DB" w:rsidRPr="003E7524" w:rsidRDefault="000147DB" w:rsidP="000147DB">
      <w:pPr>
        <w:jc w:val="both"/>
        <w:rPr>
          <w:color w:val="FF0000"/>
          <w:sz w:val="24"/>
        </w:rPr>
      </w:pPr>
      <w:r>
        <w:rPr>
          <w:color w:val="FF0000"/>
          <w:sz w:val="24"/>
        </w:rPr>
        <w:t>A 2012. március 21-i törvény 9. cikkében megállapított hulladékhierarchiának megfelelően, a miniszter környezetvédelmi megállapodásokat köthet annak érdekében, hogy ösztönözze a forgalomba hozott újrafelhasználható csomagolások arányának növelését és a környezetbarát csomagolások újrafelhasználási rendszereit.</w:t>
      </w:r>
    </w:p>
    <w:p w14:paraId="213A7D6C" w14:textId="77777777" w:rsidR="000147DB" w:rsidRPr="003E7524" w:rsidRDefault="000147DB" w:rsidP="002F5A31">
      <w:pPr>
        <w:keepNext/>
        <w:keepLines/>
        <w:jc w:val="both"/>
        <w:rPr>
          <w:color w:val="FF0000"/>
          <w:sz w:val="24"/>
        </w:rPr>
      </w:pPr>
      <w:r>
        <w:rPr>
          <w:color w:val="FF0000"/>
          <w:sz w:val="24"/>
        </w:rPr>
        <w:t xml:space="preserve">Ezek a megállapodások többek között a következőkre terjedhetnek ki: </w:t>
      </w:r>
    </w:p>
    <w:p w14:paraId="5BEA6077" w14:textId="77777777" w:rsidR="000147DB" w:rsidRPr="003E7524" w:rsidRDefault="000147DB" w:rsidP="000147DB">
      <w:pPr>
        <w:jc w:val="both"/>
        <w:rPr>
          <w:color w:val="FF0000"/>
          <w:sz w:val="24"/>
        </w:rPr>
      </w:pPr>
      <w:r>
        <w:rPr>
          <w:color w:val="FF0000"/>
          <w:sz w:val="24"/>
        </w:rPr>
        <w:t>1. betétdíjas rendszerek alkalmazása;</w:t>
      </w:r>
    </w:p>
    <w:p w14:paraId="498392F7" w14:textId="77777777" w:rsidR="000147DB" w:rsidRPr="003E7524" w:rsidRDefault="000147DB" w:rsidP="000147DB">
      <w:pPr>
        <w:jc w:val="both"/>
        <w:rPr>
          <w:color w:val="FF0000"/>
          <w:sz w:val="24"/>
        </w:rPr>
      </w:pPr>
      <w:r>
        <w:rPr>
          <w:color w:val="FF0000"/>
          <w:sz w:val="24"/>
        </w:rPr>
        <w:t>2. minőségi és mennyiségi célok meghatározása;</w:t>
      </w:r>
    </w:p>
    <w:p w14:paraId="57A9F07C" w14:textId="77777777" w:rsidR="000147DB" w:rsidRPr="003E7524" w:rsidRDefault="000147DB" w:rsidP="000147DB">
      <w:pPr>
        <w:jc w:val="both"/>
        <w:rPr>
          <w:color w:val="FF0000"/>
          <w:sz w:val="24"/>
        </w:rPr>
      </w:pPr>
      <w:r>
        <w:rPr>
          <w:color w:val="FF0000"/>
          <w:sz w:val="24"/>
        </w:rPr>
        <w:t>3. gazdasági ösztönző intézkedések alkalmazása;</w:t>
      </w:r>
    </w:p>
    <w:p w14:paraId="2D7BAE53" w14:textId="77777777" w:rsidR="000147DB" w:rsidRPr="003E7524" w:rsidRDefault="000147DB" w:rsidP="000147DB">
      <w:pPr>
        <w:jc w:val="both"/>
        <w:rPr>
          <w:color w:val="FF0000"/>
          <w:sz w:val="24"/>
        </w:rPr>
      </w:pPr>
      <w:r>
        <w:rPr>
          <w:color w:val="FF0000"/>
          <w:sz w:val="24"/>
        </w:rPr>
        <w:t>4. a forgalomba hozott újrafelhasználható csomagolások minimális százalékának meghatározása minden évben, mindegyik csomagolásáramra vonatkozóan.</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u w:val="single"/>
        </w:rPr>
        <w:t>6. cikk Hasznosítás és újrafeldolgozás</w:t>
      </w:r>
    </w:p>
    <w:p w14:paraId="6A7E88E7"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A csomagolásért felelős személyek kötelesek elérni az alábbiakban megadott minimális célokat: </w:t>
      </w:r>
    </w:p>
    <w:p w14:paraId="135701C7" w14:textId="77777777" w:rsidR="000147DB" w:rsidRPr="003E7524" w:rsidRDefault="000147DB" w:rsidP="000147DB">
      <w:pPr>
        <w:pStyle w:val="Liste10"/>
        <w:spacing w:before="240"/>
        <w:rPr>
          <w:rFonts w:cs="TimesNewRoman"/>
          <w:b/>
          <w:color w:val="FF0000"/>
          <w:sz w:val="24"/>
          <w:szCs w:val="24"/>
        </w:rPr>
      </w:pPr>
      <w:r>
        <w:rPr>
          <w:color w:val="FF0000"/>
          <w:sz w:val="24"/>
          <w:szCs w:val="24"/>
        </w:rPr>
        <w:t>1) a csomagolási hulladékok összes tömegének 65 százaléka hasznosítva lesz vagy hulladékégetőkben kerül elégetésre energetikai hasznosítással;</w:t>
      </w:r>
    </w:p>
    <w:p w14:paraId="0BEBEC70" w14:textId="77777777" w:rsidR="000147DB" w:rsidRPr="003E7524" w:rsidRDefault="000147DB" w:rsidP="000147DB">
      <w:pPr>
        <w:pStyle w:val="Liste10"/>
        <w:spacing w:before="240"/>
        <w:rPr>
          <w:rFonts w:cs="TimesNewRoman"/>
          <w:b/>
          <w:color w:val="FF0000"/>
          <w:sz w:val="24"/>
          <w:szCs w:val="24"/>
        </w:rPr>
      </w:pPr>
      <w:r>
        <w:rPr>
          <w:color w:val="FF0000"/>
          <w:sz w:val="24"/>
          <w:szCs w:val="24"/>
        </w:rPr>
        <w:lastRenderedPageBreak/>
        <w:t>2) a csomagolási hulladékok összes tömegének 60 százaléka újrafeldolgozásra kerül a csomagolási hulladékokban lévő anyagok alábbiakban megadott minimális újrafeldolgozási céljaival: az üveg tömegének 60 százaléka, a papír és karton tömegének 60 százaléka, a fémek tömegének 50 százaléka, a műanyagok, de azon belül kizárólag a műanyagként újrafeldolgozott anyagok tömegének 22,5 százaléka és a fa tömegének 15 százaléka.</w:t>
      </w:r>
    </w:p>
    <w:p w14:paraId="74DA408D" w14:textId="77777777" w:rsidR="000147DB" w:rsidRPr="003E7524" w:rsidRDefault="000147DB" w:rsidP="000147DB">
      <w:pPr>
        <w:pStyle w:val="Liste10"/>
        <w:spacing w:before="240"/>
        <w:rPr>
          <w:rFonts w:cs="TimesNewRoman"/>
          <w:b/>
          <w:color w:val="FF0000"/>
          <w:sz w:val="24"/>
          <w:szCs w:val="24"/>
        </w:rPr>
      </w:pPr>
      <w:r>
        <w:rPr>
          <w:color w:val="FF0000"/>
          <w:sz w:val="24"/>
          <w:szCs w:val="24"/>
        </w:rPr>
        <w:t>3) legkésőbb 2025. december 31-ig az összes csomagolási hulladék minimum 65 százaléka újrafeldolgozásra kerül;</w:t>
      </w:r>
    </w:p>
    <w:p w14:paraId="73EB6671"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4) legkésőbb 2025. december 31-ig el kell elérni az alábbiakban megadott újrafeldolgozási minimumcélokat a csomagolási hulladékokban található következő anyagok esetén:</w:t>
      </w:r>
    </w:p>
    <w:p w14:paraId="28C5FBC2"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a műanyagok tömegének 50%-a;</w:t>
      </w:r>
    </w:p>
    <w:p w14:paraId="4E57FAF2"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b) a fa tömegének 25%-a;</w:t>
      </w:r>
    </w:p>
    <w:p w14:paraId="2042FBF8"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c) a vasfémek tömegének 70%-a;</w:t>
      </w:r>
    </w:p>
    <w:p w14:paraId="44C91BB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az alumínium tömegének 50%-a;</w:t>
      </w:r>
    </w:p>
    <w:p w14:paraId="7238B49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az üveg tömegének 70%-a;</w:t>
      </w:r>
    </w:p>
    <w:p w14:paraId="0474C36D"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a papír és karton tömegének 75%-a.</w:t>
      </w:r>
    </w:p>
    <w:p w14:paraId="0E79D37D" w14:textId="77777777" w:rsidR="000147DB" w:rsidRPr="00471E09" w:rsidRDefault="000147DB" w:rsidP="000147DB">
      <w:pPr>
        <w:pStyle w:val="Liste10"/>
        <w:spacing w:before="240"/>
        <w:rPr>
          <w:rFonts w:cs="TimesNewRoman"/>
          <w:color w:val="FF0000"/>
          <w:sz w:val="24"/>
          <w:szCs w:val="24"/>
        </w:rPr>
      </w:pPr>
      <w:r>
        <w:rPr>
          <w:color w:val="FF0000"/>
          <w:sz w:val="24"/>
          <w:szCs w:val="24"/>
        </w:rPr>
        <w:t>5) legkésőbb 2030. december 31-ig az összes csomagolási hulladék minimum 70 százaléka újrafeldolgozásra kerül;</w:t>
      </w:r>
    </w:p>
    <w:p w14:paraId="72B3204C" w14:textId="77777777" w:rsidR="000147DB" w:rsidRPr="00471E09" w:rsidRDefault="000147DB" w:rsidP="002F5A31">
      <w:pPr>
        <w:pStyle w:val="Liste10"/>
        <w:keepNext/>
        <w:keepLines/>
        <w:spacing w:before="240"/>
        <w:rPr>
          <w:rFonts w:cs="TimesNewRoman"/>
          <w:color w:val="FF0000"/>
          <w:sz w:val="24"/>
          <w:szCs w:val="24"/>
        </w:rPr>
      </w:pPr>
      <w:r>
        <w:rPr>
          <w:color w:val="FF0000"/>
          <w:sz w:val="24"/>
          <w:szCs w:val="24"/>
        </w:rPr>
        <w:t>6) legkésőbb 2030. december 31-ig el kell elérni az alábbiakban megadott újrafeldolgozási minimumcélokat a csomagolási hulladékokban található anyagok esetén:</w:t>
      </w:r>
    </w:p>
    <w:p w14:paraId="5CEB0529"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a műanyagok tömegének 55%-a;</w:t>
      </w:r>
    </w:p>
    <w:p w14:paraId="3F31D1FB"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b) a fa tömegének 30%-a;</w:t>
      </w:r>
    </w:p>
    <w:p w14:paraId="75516D1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c) a vasfémek tömegének 80%-a;</w:t>
      </w:r>
    </w:p>
    <w:p w14:paraId="4FD2DC3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az alumínium tömegének 60%-a;</w:t>
      </w:r>
    </w:p>
    <w:p w14:paraId="6756906E"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az üveg tömegének 75%-a;</w:t>
      </w:r>
    </w:p>
    <w:p w14:paraId="7EEFA81F"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a papír és karton tömegének 85%-a.</w:t>
      </w:r>
    </w:p>
    <w:p w14:paraId="4B119723" w14:textId="77777777" w:rsidR="000147DB" w:rsidRPr="00471E09" w:rsidRDefault="000147DB" w:rsidP="000147DB">
      <w:pPr>
        <w:pStyle w:val="Liste10"/>
        <w:spacing w:before="240"/>
        <w:rPr>
          <w:rFonts w:cs="TimesNewRoman"/>
          <w:color w:val="FF0000"/>
          <w:sz w:val="24"/>
          <w:szCs w:val="24"/>
        </w:rPr>
      </w:pPr>
      <w:r>
        <w:rPr>
          <w:color w:val="FF0000"/>
          <w:sz w:val="24"/>
          <w:szCs w:val="24"/>
        </w:rPr>
        <w:t>A 14. cikk megsértése nélkül a környezetvédelmi közigazgatási szerv gondoskodik arról, hogy ezek a kötelezettségek és célok a nyilvánosságot és a gazdasági szereplőket megszólító tájékoztató kampány tárgyát képezzék.</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u w:val="single"/>
        </w:rPr>
        <w:t>6</w:t>
      </w:r>
      <w:r>
        <w:rPr>
          <w:i/>
          <w:iCs/>
          <w:color w:val="FF0000"/>
          <w:sz w:val="24"/>
          <w:szCs w:val="24"/>
          <w:u w:val="single"/>
        </w:rPr>
        <w:t>a</w:t>
      </w:r>
      <w:r>
        <w:rPr>
          <w:color w:val="FF0000"/>
          <w:sz w:val="24"/>
          <w:szCs w:val="24"/>
          <w:u w:val="single"/>
        </w:rPr>
        <w:t>. cikk A célok elérésének értékelését szolgáló számításra vonatkozó szabályok</w:t>
      </w:r>
    </w:p>
    <w:p w14:paraId="4190A464"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(1) A 6. cikk (1) bekezdésének 3–6. pontjában meghatározott célok teljesülésének meghatározására szolgáló számításnál:</w:t>
      </w:r>
    </w:p>
    <w:p w14:paraId="64FF6A17"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szCs w:val="24"/>
        </w:rPr>
        <w:t>1. a termelt és újrafeldolgozott csomagolási hulladékok tömegét egy adott naptári évre nézve kell számítani. A termelt csomagolási hulladékok mennyisége egyenértékűnek tekinthető az ugyanazon évben forgalomba hozott csomagolások mennyiségével;</w:t>
      </w:r>
    </w:p>
    <w:p w14:paraId="3595E56C"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szCs w:val="24"/>
        </w:rPr>
        <w:t>2. az újrafeldolgozott csomagolási hulladék tömegének számításakor azon csomagolások hulladékká vált tömegét kell tekinteni, amelyek már átestek az összes előzetesen szükséges ellenőrzési, válogatási és egyéb műveleten, amely a későbbi kezelési folyamatok tárgyát nem képező hulladékok kiválogatásához és a magas színvonalú újrafeldolgozás biztosításához szükséges, majd ezt követően kerülnek be az újrafeldolgozási folyamatba, amelynek során a hulladékot ténylegesen újrahasznosítják termékekként vagy anyagként.</w:t>
      </w:r>
    </w:p>
    <w:p w14:paraId="528F3DBE"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(2) Az (1) bekezdés 1. pontjának alkalmazásában, az újrafeldolgozott csomagolási hulladékok tömegét az újrafeldolgozási folyamatba való bekerüléskor kell mérni.</w:t>
      </w:r>
    </w:p>
    <w:p w14:paraId="5C40963C"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Az 1. albekezdéstől eltérően, az újrafeldolgozott csomagolási hulladékok tömege mérhető a válogatási műveletekből való kilépéskor is, amennyiben:</w:t>
      </w:r>
    </w:p>
    <w:p w14:paraId="34D0716F"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1. ezek a hulladékok a válogatási műveletből való kilépést követően azonnal újrafeldolgozásra kerülnek;</w:t>
      </w:r>
    </w:p>
    <w:p w14:paraId="3B9C8FE8"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2. az újrafeldolgozottként feltüntetett hulladékok tömege nem tartalmazza az újrafeldolgozást megelőző egyéb műveletek során eltávolított, és nem azonnal újrafeldolgozott anyagok tömegét.</w:t>
      </w:r>
    </w:p>
    <w:p w14:paraId="0049964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A számítási szabályok betartásának és az illetékes közigazgatási szervnek szóló összes információ megfelelő továbbításának biztosítására a 2012. március 21-i törvény 34. cikkének megfelelően egy elektronikus nyilvántartás kerül bevezetésre. </w:t>
      </w:r>
    </w:p>
    <w:p w14:paraId="22177B03" w14:textId="77777777" w:rsidR="000147DB" w:rsidRPr="00E30D60" w:rsidRDefault="000147DB" w:rsidP="000147DB">
      <w:pPr>
        <w:spacing w:beforeLines="100" w:before="240" w:after="240" w:line="240" w:lineRule="auto"/>
        <w:jc w:val="both"/>
        <w:rPr>
          <w:rFonts w:eastAsia="Calibri" w:cs="TimesNewRoman"/>
          <w:color w:val="FF0000"/>
          <w:spacing w:val="-4"/>
          <w:sz w:val="24"/>
          <w:szCs w:val="24"/>
        </w:rPr>
      </w:pPr>
      <w:r w:rsidRPr="00E30D60">
        <w:rPr>
          <w:color w:val="FF0000"/>
          <w:spacing w:val="-4"/>
          <w:sz w:val="24"/>
          <w:szCs w:val="24"/>
        </w:rPr>
        <w:t>(4) Az újrafeldolgozást megelőző előkészítési művelet miatt a továbbiakban már hulladéknak nem minősülő csomagolási hulladékmennyiség újrafeldolgozottnak tekinthető, amennyiben ezek a hulladékok termékekként vagy anyagokként lesznek újrafeldolgozva az eredeti funkciójuk vagy más funkció céljából. Ugyanakkor a továbbiakban már hulladéknak nem minősülő hulladékok, amelyek tüzelőanyagként vagy egyéb energiatermelőként lesznek felhasználva, vagy elégetésre, feltöltésre vagy hulladéklerakásra kerülnek, nem vehetők figyelembe az újrafeldolgozási célok elérésénél.</w:t>
      </w:r>
    </w:p>
    <w:p w14:paraId="79D6EBAB" w14:textId="77777777" w:rsidR="000147DB" w:rsidRPr="003E7524" w:rsidRDefault="000147DB" w:rsidP="00E30D60">
      <w:pPr>
        <w:keepLines/>
        <w:spacing w:beforeLines="100" w:before="240" w:after="240" w:line="240" w:lineRule="auto"/>
        <w:jc w:val="both"/>
        <w:rPr>
          <w:rFonts w:eastAsia="Calibri" w:cs="TimesNewRoman"/>
          <w:color w:val="FF0000"/>
          <w:sz w:val="24"/>
          <w:szCs w:val="24"/>
        </w:rPr>
      </w:pPr>
      <w:r>
        <w:rPr>
          <w:color w:val="FF0000"/>
          <w:sz w:val="24"/>
          <w:szCs w:val="24"/>
        </w:rPr>
        <w:lastRenderedPageBreak/>
        <w:t>(5) A 6. cikk (1) bekezdésének 3–6. pontjában meghatározott célok teljesülésének értékelését szolgáló számításnál a környezetvédelmi</w:t>
      </w:r>
      <w:r>
        <w:rPr>
          <w:rFonts w:ascii="Verdana" w:hAnsi="Verdana"/>
          <w:b/>
          <w:color w:val="FF0000"/>
          <w:sz w:val="20"/>
          <w:szCs w:val="20"/>
        </w:rPr>
        <w:t xml:space="preserve"> </w:t>
      </w:r>
      <w:r>
        <w:rPr>
          <w:color w:val="FF0000"/>
          <w:sz w:val="24"/>
          <w:szCs w:val="24"/>
        </w:rPr>
        <w:t>közigazgatási szerv figyelembe veheti a hulladékok elégetését követően kiválogatott fémek újrafeldolgozását az elégetett csomagolási hulladékok mennyiségének arányában, feltéve, hogy az újrafeldolgozott fémek megfelelnek a 2008/98/EK irányelv 11</w:t>
      </w:r>
      <w:r>
        <w:rPr>
          <w:i/>
          <w:color w:val="FF0000"/>
          <w:sz w:val="24"/>
          <w:szCs w:val="24"/>
        </w:rPr>
        <w:t>a</w:t>
      </w:r>
      <w:r>
        <w:rPr>
          <w:color w:val="FF0000"/>
          <w:sz w:val="24"/>
          <w:szCs w:val="24"/>
        </w:rPr>
        <w:t>. cikkének (9) bekezdése szerint elfogadott végrehajtási aktusban meghatározott bizonyos minőségi kritériumoknak.</w:t>
      </w:r>
    </w:p>
    <w:p w14:paraId="451BF595"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(6) Az Európai Unió egyéb tagállamaiba az adott tagállamban elvégzendő újrafeldolgozási céllal elküldött csomagolási hulladékokat figyelembe kell venni a 6. cikk (1) bekezdésének 3–6. pontjában meghatározott, Luxemburgra vonatkozó célok teljesítésénél.</w:t>
      </w:r>
    </w:p>
    <w:p w14:paraId="5CA935B6"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(7) Az Európai Unióból exportált csomagolási hulladékokat nem lehet figyelembe venni a 6. cikk (1) bekezdésében meghatározott célok elérését értékelő számításnál, kivéve, ha a (3) bekezdésben lévő feltételek teljesülnek, és a hulladékszállításról szóló 2006. június 14-i 1013/2006/EK európai parlamenti és tanácsi rendelet szerint az exportőr bizonyítani tudja, hogy a hulladékszállítás az említett rendelet követelményeinek megfelel, és a csomagolási hulladékok Európai Unión kívüli kezelése olyan körülmények között zajlott, amelyek lényegében megegyeznek a környezetvédelmi jogszabályok alkalmazandó követelményeivel.</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szCs w:val="24"/>
          <w:u w:val="single"/>
        </w:rPr>
        <w:t>7. cikk Visszavételi, gyűjtési és hasznosítási rendszerek</w:t>
      </w:r>
    </w:p>
    <w:p w14:paraId="3CFE162E"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(1) Az 1. cikkben megfogalmazott célok elérése érdekében és a (2) bekezdésnek megfelelően, a csomagolás felelős személyek kötelesek a higiéniai előírások betartása mellett biztosítani a következőket:</w:t>
      </w:r>
    </w:p>
    <w:p w14:paraId="7AA5AC5D"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1. a fogyasztótól, bármilyen egyéb végfelhasználótól vagy hulladékáramból származó csomagolások vagy csomagolási hulladékok visszavétele vagy gyűjtése, és azok leginkább megfelelő hulladékgazdálkodási megoldás felé irányítása;</w:t>
      </w:r>
    </w:p>
    <w:p w14:paraId="40D25AD4"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2. az összegyűjtött csomagolások vagy csomagolási hulladékok újrafelhasználása, illetve újrahasználásra vagy hasznosításra való előkészítése, beleértve az újrafeldolgozást is.</w:t>
      </w:r>
    </w:p>
    <w:p w14:paraId="60F35859"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E rendszerek nyitottak az érintett iparágak azon gazdasági szereplői, valamint az illetékes hatóságok részére, akik részt kívánnak bennük venni. A rendszerek megkülönböztetés nélkül vonatkoznak továbbá az importált termékekre, beleértve a rendszerekhez való hozzáféréssel kapcsolatos feltételeket és esetleges díjakat, és azokat úgy kell kialakítani, hogy elkerülhetővé váljanak a kereskedelmi akadályok és a verseny torzulása.</w:t>
      </w:r>
    </w:p>
    <w:p w14:paraId="7291264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(2) A települési hulladékként ártalmatlanított csomagolási hulladékok minimumra csökkentése és a csomagolási hulladékok nagy mértékű szelektív gyűjtésének elérése érdekében az alábbi rendelkezések alkalmazandóak:</w:t>
      </w:r>
    </w:p>
    <w:p w14:paraId="457714E4"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lastRenderedPageBreak/>
        <w:t>a) a háztartási csomagolási hulladékok esetén:</w:t>
      </w:r>
    </w:p>
    <w:p w14:paraId="04693C3C"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szCs w:val="24"/>
        </w:rPr>
        <w:t>A háztartási települési hulladékgazdálkodással megbízott települések és települési társulások 2012. március 21-i törvény szerinti kötelezettségeinek sérelme nélkül, a településeknek és települési társulásoknak biztosítaniuk kell a szelektív gyűjtési rendszerek elérhetőségét. A települések és a települési társulások – adott esetben a jóváhagyott szervezetekkel együttműködésben – kötelesek biztosítani a háztartási csomagolási hulladékok szelektív gyűjtésére szolgáló nyilvános infrastruktúra elérthetőségét, amely lehetővé teszi a végső felhasználók számára, hogy ingyenesen visszavihessék ezeket a csomagolási hulladékokat.</w:t>
      </w:r>
    </w:p>
    <w:p w14:paraId="54386F43"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szCs w:val="24"/>
        </w:rPr>
        <w:t>A jóváhagyott szervezeteknek lehetősége van a háztartási csomagolási hulladékok visszavételét szolgáló alternatív vagy kiegészítő rendszerek kialakítására és működtetésére, amennyiben ezek a rendszerek az e törvény céljainak megfelelnek, a települések és települési társulások által bevezetett rendszerekkel megegyező országos lefedettséget biztosítanak, és lehetővé teszik e csomagolási hulladékok ingyenes visszavitelét.</w:t>
      </w:r>
    </w:p>
    <w:p w14:paraId="1411304A"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A háztartási csomagolások használóinak élniük kell a települések, a települési társulások vagy a jóváhagyott szervezetek által a háztartási csomagolási hulladékok szelektív gyűjtésére bevezetett visszavételi rendszerekkel.</w:t>
      </w:r>
    </w:p>
    <w:p w14:paraId="72763D47"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b) a nem háztartási csomagolási hulladékok esetén:</w:t>
      </w:r>
    </w:p>
    <w:p w14:paraId="3D19C80D" w14:textId="77777777" w:rsidR="000147DB" w:rsidRPr="00E30D60" w:rsidRDefault="000147DB" w:rsidP="000147DB">
      <w:pPr>
        <w:shd w:val="clear" w:color="auto" w:fill="FFFFFF"/>
        <w:spacing w:before="100" w:beforeAutospacing="1" w:after="0" w:line="240" w:lineRule="auto"/>
        <w:ind w:left="375"/>
        <w:jc w:val="both"/>
        <w:rPr>
          <w:rFonts w:eastAsia="Calibri" w:cs="TimesNewRoman"/>
          <w:color w:val="FF0000"/>
          <w:spacing w:val="-6"/>
          <w:sz w:val="24"/>
          <w:szCs w:val="24"/>
        </w:rPr>
      </w:pPr>
      <w:r w:rsidRPr="00E30D60">
        <w:rPr>
          <w:color w:val="FF0000"/>
          <w:spacing w:val="-6"/>
          <w:sz w:val="24"/>
          <w:szCs w:val="24"/>
        </w:rPr>
        <w:t>A nem háztartási csomagolásokért felelős személyek biztosítják a hulladékok gyűjtését és hasznosítását az e törvény 8. cikkében leírt, kiterjesztett gyártói felelősségi rendszer keretei között.</w:t>
      </w:r>
    </w:p>
    <w:p w14:paraId="211C6CEC" w14:textId="165B29C7"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(3) A </w:t>
      </w:r>
      <w:hyperlink r:id="rId4" w:history="1">
        <w:r>
          <w:rPr>
            <w:color w:val="FF0000"/>
            <w:sz w:val="24"/>
            <w:szCs w:val="24"/>
          </w:rPr>
          <w:t>2012. március 21-i törvény</w:t>
        </w:r>
      </w:hyperlink>
      <w:r>
        <w:rPr>
          <w:color w:val="FF0000"/>
          <w:sz w:val="24"/>
          <w:szCs w:val="24"/>
        </w:rPr>
        <w:t xml:space="preserve"> 30. cikkének (1) bekezdésében említett létesítmények vagy vállalkozások csak akkor gyűjthetik és szállíthatják el a háztartási hulladéknak minősülő csomagolási hulladékokat, ha erre a jóváhagyott szervezetek felhatalmazták őket.</w:t>
      </w:r>
    </w:p>
    <w:p w14:paraId="5A8B572D" w14:textId="03908A6C"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(4) A luxemburgi piacon forgalomba hozott, emberi fogyasztásra szánt italok csomagolásaira az egységes országos betétdíjas rendszer vonatkozik. A betétdíj összege 10 eurocent és 1 euró között változik a csomagolás jellegétől függően. A betétdíjas rendszer feltételeit és bevezetését nagyhercegi rendelet határozza meg.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u w:val="single"/>
        </w:rPr>
        <w:t>8. </w:t>
      </w:r>
      <w:r>
        <w:rPr>
          <w:color w:val="FF0000"/>
          <w:sz w:val="24"/>
          <w:szCs w:val="24"/>
        </w:rPr>
        <w:t>cikk</w:t>
      </w:r>
      <w:r>
        <w:rPr>
          <w:color w:val="FF0000"/>
          <w:sz w:val="24"/>
          <w:szCs w:val="24"/>
          <w:u w:val="single"/>
        </w:rPr>
        <w:t xml:space="preserve"> A csomagolásért felelős személyek és a jóváhagyott szervezetek</w:t>
      </w:r>
    </w:p>
    <w:p w14:paraId="4ADADA8E" w14:textId="5E4F3F88"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(1) Annak érdekében, hogy az e törvényből, valamint az egyes műanyag termékek környezetre gyakorolt hatásainak értékeléséről szóló törvényből eredő kötelezettségeinek eleget tegyen, a csomagolásért felelős személynek eleget kell tennie a 2012. március 21-i törvény 19. cikkében említett, kiterjesztett gyártói felelősségi rendszer előírásainak. </w:t>
      </w:r>
    </w:p>
    <w:p w14:paraId="48FF4710"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lastRenderedPageBreak/>
        <w:t xml:space="preserve">Azon újból felhasználható háztartási csomagolások esetén, amelyeknél létezik visszavételi rendszer, szerződésben megbízhat egy jóváhagyott szervezetet e kötelezettség teljes vagy részleges végrehajtásával. Az egyéb háztartási csomagolások esetén szerződésben kell megbíznia egy jóváhagyott szervezetet e kötelezettség végrehajtásával. A nem háztartási csomagolások esetén, szerződésben kell megbíznia egy jóváhagyott szervezetet e kötelezettség teljes vagy részleges végrehajtásával. </w:t>
      </w:r>
    </w:p>
    <w:p w14:paraId="0456039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(2) A központi kezelés hatálya alá tartozó csomagolási hulladékok esetén a jóváhagyott szervezetek a rájuk vonatkozó mértékben biztosítják a hulladékgazdálkodás – beleértve az újrahasználásra való előkészítési műveletek – finanszírozását, az önkéntes alapon használható gyűjtőhelyektől kiindulóan.</w:t>
      </w:r>
    </w:p>
    <w:p w14:paraId="72D5467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 központi kezelés hatálya alá nem tartozó csomagolási hulladékok esetén a szelektív hulladékgyűjtésben részt vevő jóváhagyott szervezetek pénzügyi beavatkozásának feltételeit a szervezetek és az érintett települések közötti közös megegyezéssel kell meghatározni. A hulladékgazdálkodás – beleértve az újrahasználásra való előkészítési műveletek – teljes költségét a csomagolásért felelős személyek hozzájárulásából kell fedezni.</w:t>
      </w:r>
    </w:p>
    <w:p w14:paraId="7AFE5345"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(3) Ezen kívül a jóváhagyott szervezet köteles:</w:t>
      </w:r>
    </w:p>
    <w:p w14:paraId="09CD75E1"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1. kiszámítani a vállalkozói által biztosított hozzájárulásokat a meglévő és a létrehozandó gyűjtőhelyekkel, az összegyűjtött csomagolási hulladékok szétválogatásával, az újrahasználásra való előkészítés műveleteivel és a csomagolási hulladékok kezelésével kapcsolatos költségek, illetve a hulladékot birtoklók tájékoztatásával, valamint az információk továbbításával és gyűjtésével kapcsolatos költségek finanszírozása érdekében. A figyelembe vett költségek nem haladhatják meg a költséghatékony szolgáltatás biztosításához szükséges költségeket.</w:t>
      </w:r>
    </w:p>
    <w:p w14:paraId="2A2FFD4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2. szerződést kötni a háztartási települési hulladékgazdálkodásért felelős településekkel és települési társulásokkal, amely szerződésben meghatározzák az érintett csomagolási hulladékok gyűjtésének és a csomagolási hulladékok kezelésének technikai feltételeit és szabályait. </w:t>
      </w:r>
    </w:p>
    <w:p w14:paraId="0E152E2B"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 szerződés semmilyen esetben sem sértheti a háztartási települési hulladékkezelésért felelős települések és települési társulások e területen gyakorolható hatásköreit.</w:t>
      </w:r>
    </w:p>
    <w:p w14:paraId="5D98EE2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évente tájékoztatni a minisztert a 2012. március 21-i törvény 35. cikkének (2) bekezdésében említett beszámolóban a háztartási települési hulladékkezelésért felelős településekkel és települési társulásokkal kötött szerződésekről. </w:t>
      </w:r>
    </w:p>
    <w:p w14:paraId="4EF43EE8"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A csomagolási hulladékok kezelését a 2012. március 21-i törvény 9. cikkében megállapított hulladékhierarchiának megfelelően kell végezni.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2F5A31">
      <w:pPr>
        <w:keepNext/>
        <w:keepLines/>
        <w:spacing w:after="0" w:line="240" w:lineRule="auto"/>
        <w:jc w:val="both"/>
        <w:rPr>
          <w:rFonts w:eastAsia="Times New Roman" w:cs="Arial"/>
        </w:rPr>
      </w:pPr>
      <w:r>
        <w:rPr>
          <w:b/>
          <w:bCs/>
        </w:rPr>
        <w:lastRenderedPageBreak/>
        <w:t>9. cikk Alapkövetelmények</w:t>
      </w:r>
    </w:p>
    <w:p w14:paraId="605864EB" w14:textId="77777777" w:rsidR="000147DB" w:rsidRPr="003E7524" w:rsidRDefault="000147DB" w:rsidP="000147DB">
      <w:pPr>
        <w:spacing w:after="0" w:line="240" w:lineRule="auto"/>
        <w:jc w:val="both"/>
        <w:rPr>
          <w:rFonts w:eastAsia="Times New Roman" w:cs="Arial"/>
        </w:rPr>
      </w:pPr>
      <w:r>
        <w:t>Egy adott csomagolás nem hozható forgalomba a luxemburgi piacon, ha nem felel meg az I. mellékletben meghatározott alapkövetelményeknek.</w:t>
      </w:r>
    </w:p>
    <w:p w14:paraId="3A246FED" w14:textId="77777777" w:rsidR="000147DB" w:rsidRPr="003E7524" w:rsidRDefault="000147DB" w:rsidP="000147DB">
      <w:pPr>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rFonts w:eastAsia="Times New Roman" w:cs="Arial"/>
          <w:b/>
          <w:bCs/>
          <w:iCs/>
        </w:rPr>
      </w:pPr>
      <w:r>
        <w:rPr>
          <w:b/>
          <w:bCs/>
        </w:rPr>
        <w:t xml:space="preserve">10. cikk </w:t>
      </w:r>
      <w:r>
        <w:rPr>
          <w:b/>
          <w:bCs/>
          <w:iCs/>
        </w:rPr>
        <w:t>Azonosítási rendszer</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(1) A gyűjtés, az újrafelhasználás, az újrahasználásra való előkészítés, a hasznosítás és az újrafeldolgozás megkönnyítése érdekében a csomagolásokon fel van tüntetve az azokat felépítő anyag vagy anyagok jellege, megkönnyítve azok azonosítását és az érintett iparág szerinti osztályozását a csomagolóanyagok azonosítási rendszeréről szóló, 1997. január 28-i 97/129/EK bizottsági határozat alapján, a csomagolásról és csomagolási hulladékokról szóló 94/62/EK európai parlamenti és a tanácsi irányelvnek megfelelően.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3E7524" w:rsidRDefault="000147DB" w:rsidP="000147DB">
      <w:pPr>
        <w:spacing w:after="0" w:line="240" w:lineRule="auto"/>
        <w:jc w:val="both"/>
        <w:rPr>
          <w:rFonts w:eastAsia="Times New Roman" w:cs="Arial"/>
        </w:rPr>
      </w:pPr>
      <w:r>
        <w:t>(2) Amennyiben szükséges, a megfelelő jelölést el kell helyezni magán a csomagoláson vagy annak címkéjén. A jelölésnek egyértelműen láthatónak és könnyen olvashatónak kell lennie. Továbbá megfelelően hosszú élettartammal kell rendelkeznie, még a csomagolás kinyitását követően is.</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 xml:space="preserve">11. cikk </w:t>
      </w:r>
      <w:r>
        <w:rPr>
          <w:b/>
          <w:iCs/>
          <w:color w:val="000000"/>
        </w:rPr>
        <w:t>A csomagolásokban jelenlévő nehézfémek koncentrációja</w:t>
      </w:r>
    </w:p>
    <w:p w14:paraId="5961C7DD" w14:textId="77777777" w:rsidR="000147DB" w:rsidRPr="003E7524" w:rsidRDefault="000147DB" w:rsidP="000147DB">
      <w:pPr>
        <w:spacing w:after="0" w:line="240" w:lineRule="auto"/>
        <w:jc w:val="both"/>
        <w:rPr>
          <w:rFonts w:eastAsia="Times New Roman" w:cs="Arial"/>
          <w:color w:val="000000"/>
        </w:rPr>
      </w:pPr>
      <w:r>
        <w:rPr>
          <w:color w:val="000000"/>
        </w:rPr>
        <w:t>(1) A csomagolásban vagy annak alkotóelemeiben jelenlévő ólom, kadmium, higany vagy hat vegyértékű króm koncentrációja nem haladhatja meg a 100 ppm értéket.</w:t>
      </w:r>
    </w:p>
    <w:p w14:paraId="173D4287" w14:textId="77777777" w:rsidR="000147DB" w:rsidRPr="003E7524" w:rsidRDefault="000147DB" w:rsidP="000147DB">
      <w:pPr>
        <w:spacing w:after="0" w:line="240" w:lineRule="auto"/>
        <w:jc w:val="both"/>
        <w:rPr>
          <w:rFonts w:eastAsia="Times New Roman" w:cs="Arial"/>
          <w:color w:val="000000"/>
        </w:rPr>
      </w:pPr>
      <w:r>
        <w:rPr>
          <w:color w:val="000000"/>
        </w:rPr>
        <w:t>(2) Az (1) bekezdésben szereplő koncentráció nem vonatkozik a teljes egészében kristályüvegből készült csomagolásokra.</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rFonts w:eastAsia="Times New Roman" w:cs="Arial"/>
          <w:b/>
        </w:rPr>
      </w:pPr>
      <w:r>
        <w:rPr>
          <w:b/>
        </w:rPr>
        <w:t>12. cikk Információs rendszerek</w:t>
      </w:r>
    </w:p>
    <w:p w14:paraId="5FCE099A" w14:textId="77777777" w:rsidR="000147DB" w:rsidRPr="003E7524" w:rsidRDefault="000147DB" w:rsidP="000147DB">
      <w:pPr>
        <w:spacing w:after="0" w:line="240" w:lineRule="auto"/>
        <w:jc w:val="both"/>
        <w:rPr>
          <w:rFonts w:eastAsia="Times New Roman" w:cs="Arial"/>
        </w:rPr>
      </w:pPr>
      <w:r>
        <w:t>(1) Az Európai Bizottság jogi aktusaival az irányelv 19. cikkének megfelelően módosított, a csomagolásról és csomagolási hulladékokról szóló 1994. december 20-i 94/62/EK európai parlamenti és a tanácsi irányelv III. mellékletében szereplő adatbázisokat a környezetvédelmi közigazgatási szerv kezeli. Ezek az adatbázisok információt nyújtanak a csomagolások és csomagolási hulladékok áramának kiterjedéséről, jellemzőiről és fejlődéséről, beleértve a csomagolási hulladékok mérgező vagy veszélyes voltáról és az azok előállításához használt anyagokról.</w:t>
      </w:r>
    </w:p>
    <w:p w14:paraId="7E5340DE" w14:textId="77777777" w:rsidR="000147DB" w:rsidRPr="003E7524" w:rsidRDefault="000147DB" w:rsidP="000147DB">
      <w:pPr>
        <w:spacing w:after="0" w:line="240" w:lineRule="auto"/>
        <w:jc w:val="both"/>
        <w:rPr>
          <w:rFonts w:eastAsia="Times New Roman" w:cs="Arial"/>
        </w:rPr>
      </w:pPr>
      <w:r>
        <w:t>(2) Az illetékes gazdasági szereplőknek saját iparágukról az e cikk értelmében előírt, megbízható adatokat kell biztosítaniuk a környezetvédelmi közigazgatási szerv részére. A környezetvédelmi közigazgatási szerv figyelembe veszi azokat a problémákat, amelyek a kis- és középvállalkozásokat érintik a részletes adatszolgáltatás során.</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bCs/>
        </w:rPr>
        <w:t xml:space="preserve">14. cikk </w:t>
      </w:r>
      <w:r>
        <w:rPr>
          <w:b/>
          <w:bCs/>
          <w:iCs/>
        </w:rPr>
        <w:t>A csomagolások felhasználói számára szóló információk</w:t>
      </w:r>
    </w:p>
    <w:p w14:paraId="0BFAA0F4" w14:textId="77777777" w:rsidR="000147DB" w:rsidRPr="003E7524" w:rsidRDefault="000147DB" w:rsidP="000147DB">
      <w:pPr>
        <w:spacing w:after="0" w:line="240" w:lineRule="auto"/>
        <w:jc w:val="both"/>
        <w:rPr>
          <w:rFonts w:eastAsia="Times New Roman" w:cs="Arial"/>
        </w:rPr>
      </w:pPr>
      <w:r>
        <w:t>(1) A csomagolásért felelős személyek és a jóváhagyott szervezetek hatáskörüknek megfelelően kötelesek tájékoztatni a csomagolások felhasználóit, beleértve a fogyasztókat is, a következőkről:</w:t>
      </w:r>
    </w:p>
    <w:p w14:paraId="28FD57E8" w14:textId="77777777" w:rsidR="000147DB" w:rsidRPr="003E7524" w:rsidRDefault="000147DB" w:rsidP="000147DB">
      <w:pPr>
        <w:spacing w:after="0" w:line="240" w:lineRule="auto"/>
        <w:jc w:val="both"/>
        <w:rPr>
          <w:rFonts w:eastAsia="Times New Roman" w:cs="Arial"/>
        </w:rPr>
      </w:pPr>
      <w:r>
        <w:t>a csomagolási hulladékok megelőzési lehetőségei;</w:t>
      </w:r>
    </w:p>
    <w:p w14:paraId="1A222528" w14:textId="77777777" w:rsidR="000147DB" w:rsidRPr="003E7524" w:rsidRDefault="000147DB" w:rsidP="000147DB">
      <w:pPr>
        <w:spacing w:after="0" w:line="240" w:lineRule="auto"/>
        <w:jc w:val="both"/>
        <w:rPr>
          <w:rFonts w:eastAsia="Times New Roman" w:cs="Arial"/>
        </w:rPr>
      </w:pPr>
      <w:r>
        <w:t>a rendelkezésükre álló visszavételi, gyűjtési és hasznosítási rendszerek, és hozzájárulásuk a csomagolások és a csomagolási hulladékok újrahasználásához, hasznosításához és újrafeldolgozásához;</w:t>
      </w:r>
    </w:p>
    <w:p w14:paraId="2AF81E67" w14:textId="77777777" w:rsidR="000147DB" w:rsidRPr="003E7524" w:rsidRDefault="000147DB" w:rsidP="000147DB">
      <w:pPr>
        <w:spacing w:after="0" w:line="240" w:lineRule="auto"/>
        <w:jc w:val="both"/>
        <w:rPr>
          <w:rFonts w:eastAsia="Times New Roman" w:cs="Arial"/>
        </w:rPr>
      </w:pPr>
      <w:r>
        <w:t>a műanyag hordtasakok túlzott mértékű fogyasztásából származó káros környezeti hatások;</w:t>
      </w:r>
    </w:p>
    <w:p w14:paraId="0BB30D5B" w14:textId="77777777" w:rsidR="000147DB" w:rsidRPr="00E30D60" w:rsidRDefault="000147DB" w:rsidP="000147DB">
      <w:pPr>
        <w:spacing w:after="0" w:line="240" w:lineRule="auto"/>
        <w:jc w:val="both"/>
        <w:rPr>
          <w:rFonts w:eastAsia="Times New Roman" w:cs="Arial"/>
          <w:spacing w:val="-4"/>
        </w:rPr>
      </w:pPr>
      <w:r w:rsidRPr="00E30D60">
        <w:rPr>
          <w:spacing w:val="-4"/>
        </w:rPr>
        <w:lastRenderedPageBreak/>
        <w:t>a csomagolások és csomagolási hulladékok kezelési terveinek megfelelő elemei, amelyek vagy az országos hulladékgazdálkodási terv részei, vagy a 2012. március 21-i törvénynek megfelelően kidolgozott terv tárgyát képezik.</w:t>
      </w:r>
    </w:p>
    <w:p w14:paraId="6F14132A" w14:textId="77777777" w:rsidR="000147DB" w:rsidRPr="00E30D60" w:rsidRDefault="000147DB" w:rsidP="000147DB">
      <w:pPr>
        <w:spacing w:after="0" w:line="240" w:lineRule="auto"/>
        <w:jc w:val="both"/>
        <w:rPr>
          <w:rFonts w:eastAsia="Times New Roman" w:cs="Arial"/>
          <w:color w:val="FF0000"/>
          <w:spacing w:val="-4"/>
          <w:lang w:val="fr-FR" w:eastAsia="fr-FR"/>
        </w:rPr>
      </w:pPr>
    </w:p>
    <w:p w14:paraId="7030362B" w14:textId="51AC38F2" w:rsidR="000147DB" w:rsidRPr="00E30D60" w:rsidRDefault="000147DB" w:rsidP="000147DB">
      <w:pPr>
        <w:spacing w:after="0" w:line="240" w:lineRule="auto"/>
        <w:jc w:val="both"/>
        <w:rPr>
          <w:rFonts w:eastAsia="Times New Roman" w:cs="Arial"/>
          <w:spacing w:val="-4"/>
        </w:rPr>
      </w:pPr>
      <w:r w:rsidRPr="00E30D60">
        <w:rPr>
          <w:spacing w:val="-4"/>
        </w:rPr>
        <w:t>(2) A csomagolt termékeket forgalmazó személyek gondoskodnak arról, hogy a végfogyasztó megfelelő tájékoztatásban részesüljön az eladási helyeken egyrészt a csomagolás újrahasználási vagy hasznosítási, valamint újrafeldolgozási jellemzőiről, másrészt a visszavételi rendszerről, azon belül is a csomagolás gyűjtéséről.</w:t>
      </w:r>
    </w:p>
    <w:p w14:paraId="049AF44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A megfelelő jelölést el kell helyezni magán a csomagoláson vagy annak címkéjén. A jelölésnek egyértelműen láthatónak és könnyen olvashatónak kell lennie. Továbbá megfelelően hosszú élettartammal kell rendelkeznie, még a csomagolás kinyitását követően is.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(3) Az (1) és (2) bekezdésben leírt tájékoztatási intézkedéseket adott esetben ki kell egészíteni a környezetvédelmi közigazgatási szervvel együttműködésben szervezett figyelemfelkeltő kampányokkal.</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15. cikk Beszámolók</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 xml:space="preserve">A könnyű műanyag hordtasakokat forgalomba hozó összes, csomagolásért felelős személynek jelentenie kell az ilyen hordtasakok éves mennyiségét annak a jóváhagyott szervezetnek, amelyhez csatlakozott. </w:t>
      </w:r>
    </w:p>
    <w:p w14:paraId="7B36C2F6" w14:textId="203BBF9C"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A jóváhagyott szervezetnek pedig jelentenie kell ezeket a mennyiségeket az illetékes közigazgatási szerv számára a 2012. március 21-i törvény 35. cikkének (2) bekezdésében tárgyalt beszámoló keretei között. A 3. cikk 17. pontja értelmében ez nem vonatkozik a nagyon könnyű műanyag hordtasakokra.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rFonts w:eastAsia="Times New Roman" w:cs="Arial"/>
          <w:b/>
        </w:rPr>
      </w:pPr>
      <w:r>
        <w:rPr>
          <w:b/>
        </w:rPr>
        <w:t xml:space="preserve">16. cikk Elvégzendő ellenőrzések </w:t>
      </w:r>
    </w:p>
    <w:p w14:paraId="035D85BE" w14:textId="77777777" w:rsidR="000147DB" w:rsidRPr="003E7524" w:rsidRDefault="000147DB" w:rsidP="000147DB">
      <w:pPr>
        <w:spacing w:after="0" w:line="240" w:lineRule="auto"/>
        <w:jc w:val="both"/>
        <w:rPr>
          <w:rFonts w:eastAsia="Times New Roman" w:cs="Arial"/>
        </w:rPr>
      </w:pPr>
      <w:r>
        <w:t>(1) Az éves beszámolók ellenőrzése a 2012. március 21-i törvény 35. cikke (2) bekezdésének rendelkezései alapján történik.</w:t>
      </w:r>
    </w:p>
    <w:p w14:paraId="35E08884" w14:textId="77777777" w:rsidR="000147DB" w:rsidRPr="003E7524" w:rsidRDefault="000147DB" w:rsidP="000147DB">
      <w:pPr>
        <w:spacing w:after="0" w:line="240" w:lineRule="auto"/>
        <w:jc w:val="both"/>
        <w:rPr>
          <w:rFonts w:eastAsia="Times New Roman" w:cs="Arial"/>
        </w:rPr>
      </w:pPr>
      <w:r>
        <w:t>Az ellenőrzés céljából a csomagolásért felelős személyek vagy a jóváhagyott szervezetek kötelesek biztosítani a jóváhagyott könyvvizsgáló számára minden olyan könyvelési és egyéb dokumentumot, valamint számítási elemet, amelyek az említett beszámoló alapjául szolgáltak.</w:t>
      </w:r>
    </w:p>
    <w:p w14:paraId="01E1F62A" w14:textId="77777777" w:rsidR="000147DB" w:rsidRPr="003E7524" w:rsidRDefault="000147DB" w:rsidP="000147DB">
      <w:pPr>
        <w:spacing w:after="0" w:line="240" w:lineRule="auto"/>
        <w:jc w:val="both"/>
        <w:rPr>
          <w:rFonts w:eastAsia="Times New Roman" w:cs="Arial"/>
        </w:rPr>
      </w:pPr>
      <w:r>
        <w:t>A jóváhagyott könyvvizsgáló által végzett ellenőrzés díja a csomagolásért felelős személyeket vagy a jóváhagyott szervezet(ek)et terheli.</w:t>
      </w:r>
    </w:p>
    <w:p w14:paraId="54AD644D" w14:textId="77777777" w:rsidR="000147DB" w:rsidRPr="003E7524" w:rsidRDefault="000147DB" w:rsidP="000147DB">
      <w:pPr>
        <w:spacing w:after="0" w:line="240" w:lineRule="auto"/>
        <w:jc w:val="both"/>
        <w:rPr>
          <w:rFonts w:eastAsia="Times New Roman" w:cs="Arial"/>
        </w:rPr>
      </w:pPr>
      <w:r>
        <w:t>(2) A jóváhagyott könyvvizsgáló által végrehajtott ellenőrzés eredményeit a könyvvizsgálónak azonnal továbbítania kell a környezetvédelmi közigazgatási szerv részére.</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17. cikk Szabálysértések felderítése és megállapítása</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(1) A nagyhercegi rendőrség rendőrtisztjein felül a vám- és jövedékiadó-hatóság dandártábornoki vagy annál magasabb beosztásban szolgáló tisztjei, illetve a környezetvédelmi közigazgatási szerv A1, A2 és B1 fokozatú csoportjainak köztisztviselői és alkalmazottjai is megbízhatók az e törvény és annak végrehajtására elfogadott rendeletek megsértésének megállapításával.</w:t>
      </w:r>
    </w:p>
    <w:p w14:paraId="5A9972ED"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lastRenderedPageBreak/>
        <w:t>Feladatuk elvégzése során a vám- és jövedékiadó-hatóság, illetve a környezetvédelmi közigazgatási szerv ügynökei a bűnüldöző szerv tagjainak minősülnek. A szabálysértéseket jegyzőkönyvekben állapítják meg, és ezek bizonyítékul szolgálnak az ellenkező bizonyításáig.</w:t>
      </w:r>
    </w:p>
    <w:p w14:paraId="4BDACC6F"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(2) Az (1) bekezdésben felsorolt ügynököknek részt kell venniük egy speciális, a szabálysértések felderítéséről és megállapításáról szóló szakmai képzésben. A képzés tartalmát és hosszát, valamint az ismeretek ellenőrzési módszereit nagyhercegi rendelet határozza meg.</w:t>
      </w:r>
    </w:p>
    <w:p w14:paraId="23E18C1A"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rPr>
        <w:t>Feladatuk ellátásának megkezdése előtt, az ügynökök a polgári ügyekben eljáró luxemburgi körzeti bíróság előtt a következő esküt teszik:</w:t>
      </w:r>
    </w:p>
    <w:p w14:paraId="1EC889C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„Esküszöm, hogy feladataimat feddhetetlenül, pontosan és pártatlanul fogom ellátni. ”</w:t>
      </w:r>
    </w:p>
    <w:p w14:paraId="0E596F7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A büntető törvénykönyv 458. cikke alkalmazandó.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szCs w:val="24"/>
          <w:u w:val="single"/>
        </w:rPr>
        <w:t>18. cikk Az ellenőrzés hatáskörei és előjogai</w:t>
      </w:r>
    </w:p>
    <w:p w14:paraId="16422B7B"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 xml:space="preserve">(1) A 17. cikkben felsorolt személyek éjjel-nappal, és előzetes értesítés nélkül hozzáférhetnek az e törvény és annak végrehajtására elfogadott rendeletek hatáskörébe tartozó létesítményekhez, helyiségekhez, telepekhez, berendezésekhez és közlekedési eszközökhöz. </w:t>
      </w:r>
    </w:p>
    <w:p w14:paraId="038ADE3C" w14:textId="4CBD0E56"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Az (1) bekezdés rendelkezései nem vonatkoznak azokra a helyiségekre, amelyek lakóegységként szolgálnak.</w:t>
      </w:r>
    </w:p>
    <w:p w14:paraId="017C6164"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Mindazonáltal – a büntetőeljárási törvénykönyv 33. cikk (1) bekezdésének sérelme nélkül – ha súlyos jelek utalnak arra, hogy a szabálysértés elkövetése a lakóegységként szolgáló helyiségekben történik, a lakhelyet a bűnüldöző szerv egy tagja, a nagyhercegi rendőrség rendőrtisztje vagy a 45. cikkben meghatározott, egy vizsgálóbíró felhatalmazása alapján eljáró ügynök meglátogathatja reggel fél hét és éjfél között.</w:t>
      </w:r>
    </w:p>
    <w:p w14:paraId="1BB0F8A5" w14:textId="77777777" w:rsidR="000147DB" w:rsidRPr="003E7524" w:rsidRDefault="000147DB" w:rsidP="00B972B3">
      <w:pPr>
        <w:keepNext/>
        <w:keepLines/>
        <w:jc w:val="both"/>
        <w:rPr>
          <w:rFonts w:ascii="Calibri" w:eastAsia="Calibri" w:hAnsi="Calibri" w:cs="Times New Roman"/>
          <w:color w:val="FF0000"/>
          <w:sz w:val="24"/>
          <w:szCs w:val="24"/>
        </w:rPr>
      </w:pPr>
      <w:r>
        <w:rPr>
          <w:rFonts w:ascii="Calibri" w:hAnsi="Calibri"/>
          <w:color w:val="FF0000"/>
          <w:sz w:val="24"/>
          <w:szCs w:val="24"/>
        </w:rPr>
        <w:t>(3) Az (1) és (2) bekezdésekben meghatározott feladatok végrehajtása során az illetékes ügynökök a következőre jogosultak:</w:t>
      </w:r>
    </w:p>
    <w:p w14:paraId="6F3F981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1. az e törvényben említett csomagolásokkal és csomagolási hulladékokkal kapcsolatos összes iratról és dokumentumról szóló kommunikáció átvétele;</w:t>
      </w:r>
    </w:p>
    <w:p w14:paraId="75B9F6D7" w14:textId="5E96EE24"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az e törvényben említett csomagolásokból és csomagolási hulladékokból mintát venni vagy vetetni annak megvizsgálása vagy elemzése céljából. A minta egy részét lepecsételt vagy lezárt formában a létesítmény, telephely vagy közlekedési eszköz üzemeltetője vagy a nevében eljáró más személy részére át kell adni, kivéve, ha az illető arról kifejezetten lemond, vagy ha műszaki okokból nem lehetséges;</w:t>
      </w:r>
    </w:p>
    <w:p w14:paraId="7A3F87EB" w14:textId="3B7EC98F"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3. az e törvényben említett csomagolások és csomagolási hulladékok, valamint a kapcsolódó iratok és dokumentumok lefoglalása, és szükség esetén pecséttel történő lezárása.</w:t>
      </w:r>
    </w:p>
    <w:p w14:paraId="724E3F46"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(4) A (3) bekezdésben megadott intézkedések által érintett összes személy, vagy a nevükben eljáró személyek az intézkedések végrehajtásával megbízott tisztviselők felszólítására kötelesek segíteni a tisztviselők által végzett műveleteket.</w:t>
      </w:r>
    </w:p>
    <w:p w14:paraId="3EDE58D7"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lastRenderedPageBreak/>
        <w:t>Az előző albekezdésben említett személyek jelen lehetnek e műveletek végrehajtása során.</w:t>
      </w:r>
    </w:p>
    <w:p w14:paraId="7303060C"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(5) A megállapításokról és műveletekről jegyzőkönyvet kell felvenni.</w:t>
      </w:r>
    </w:p>
    <w:p w14:paraId="560BE14F"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(6) Az e cikk értelmében végrehajtott intézkedésekből származó költségek az ezt követően felmerülő jogi költségekbe lesznek beszámítva.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19. cikk Büntetőjogi következmények</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E30D60" w:rsidRDefault="000147DB" w:rsidP="000147DB">
      <w:pPr>
        <w:autoSpaceDE w:val="0"/>
        <w:autoSpaceDN w:val="0"/>
        <w:adjustRightInd w:val="0"/>
        <w:spacing w:after="0" w:line="240" w:lineRule="auto"/>
        <w:jc w:val="both"/>
        <w:rPr>
          <w:rFonts w:eastAsia="Calibri" w:cs="TimesNewRoman"/>
          <w:color w:val="FF0000"/>
          <w:spacing w:val="-4"/>
          <w:sz w:val="24"/>
          <w:szCs w:val="24"/>
        </w:rPr>
      </w:pPr>
      <w:r w:rsidRPr="00E30D60">
        <w:rPr>
          <w:color w:val="FF0000"/>
          <w:spacing w:val="-4"/>
          <w:sz w:val="24"/>
          <w:szCs w:val="24"/>
        </w:rPr>
        <w:t>A 6. cikk (1) bekezdésen, a 7. cikk (1) bekezdésének 1. albekezdésében és (3) bekezdésben, a 8. cikk (1) bekezdés 2. albekezdésben, a 8. cikk (2) bekezdésben, a 8. cikk (4) bekezdésben, a 9. cikkben és a 11. cikk (1) bekezdésben szereplő szabálysértések 8 naptól 3 évig terjedő szabadságvesztéssel és 251 eurótól 750 000 euróig terjedő bírsággal vagy e büntetések egyikével büntetendők.</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Ugyanezek a büntetések alkalmazandók a 21. cikk értelmében kiszabott közigazgatási intézkedések akadályozása vagy megsértése esetén.</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20. cikk Közigazgatási bírságok</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Az 5. cikk (1) és (2) bekezdésének, a 7. cikk (2) bekezdése a) pontja 3. albekezdésének, a 8. cikk (3) bekezdése (3) albekezdésének, a 12. cikk (2) albekezdésének, a 14. cikk (1) és (2) bekezdésének, a 15. cikknek vagy a 16. cikk (2) bekezdésének megsértése esetén a miniszter 50 eurótól 10 000 euróig terjedő közigazgatási bírságot szabhat ki.</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A bírságokat az írásos határozatról szóló értesítéstől számított két hónapos határidőn belül kell kifizetni.</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A közigazgatási bírságokat a luxemburgi földnyilvántartási, ingatlan- és adóügyi ügynökség szedi be. A beszedés ugyanúgy történik, mint a nyilvántartásba vételi díj esetén.</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rFonts w:eastAsia="Times New Roman" w:cs="Arial"/>
          <w:b/>
          <w:bCs/>
          <w:iCs/>
        </w:rPr>
      </w:pPr>
      <w:r>
        <w:rPr>
          <w:b/>
          <w:bCs/>
        </w:rPr>
        <w:t xml:space="preserve">21. cikk </w:t>
      </w:r>
      <w:r>
        <w:rPr>
          <w:b/>
          <w:bCs/>
          <w:iCs/>
        </w:rPr>
        <w:t>Közigazgatási intézkedések</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3E7524" w:rsidRDefault="000147DB" w:rsidP="00B972B3">
      <w:pPr>
        <w:keepNext/>
        <w:keepLines/>
        <w:spacing w:after="0" w:line="240" w:lineRule="auto"/>
        <w:jc w:val="both"/>
        <w:rPr>
          <w:rFonts w:eastAsia="Times New Roman" w:cs="Arial"/>
        </w:rPr>
      </w:pPr>
      <w:r>
        <w:t>(1) Az e törvény 19. cikk</w:t>
      </w:r>
      <w:r>
        <w:rPr>
          <w:strike/>
          <w:color w:val="FF0000"/>
        </w:rPr>
        <w:t xml:space="preserve"> (1) bekezdés</w:t>
      </w:r>
      <w:r>
        <w:t>ében szankcionált rendelkezések megsértése esetén a miniszter a következőket teheti:</w:t>
      </w:r>
    </w:p>
    <w:p w14:paraId="3FA876A2" w14:textId="77777777" w:rsidR="000147DB" w:rsidRPr="00E30D60" w:rsidRDefault="000147DB" w:rsidP="000147DB">
      <w:pPr>
        <w:spacing w:after="0" w:line="240" w:lineRule="auto"/>
        <w:jc w:val="both"/>
        <w:rPr>
          <w:rFonts w:eastAsia="Times New Roman" w:cs="Arial"/>
          <w:spacing w:val="-6"/>
        </w:rPr>
      </w:pPr>
      <w:r w:rsidRPr="00E30D60">
        <w:rPr>
          <w:spacing w:val="-6"/>
        </w:rPr>
        <w:t>kiszabhat határidőt a csomagolásért felelős személyek, a jóváhagyott szervezet vagy egy érintett személy számára, amely idő alatt meg kell felelniük a rendelkezéseknek. A határidő hossza nem haladhatja meg a két évet;</w:t>
      </w:r>
    </w:p>
    <w:p w14:paraId="3CDBEA63" w14:textId="11412CF2" w:rsidR="000147DB" w:rsidRPr="00E30D60" w:rsidRDefault="000147DB" w:rsidP="00E30D60">
      <w:pPr>
        <w:keepLines/>
        <w:autoSpaceDE w:val="0"/>
        <w:autoSpaceDN w:val="0"/>
        <w:adjustRightInd w:val="0"/>
        <w:spacing w:after="0" w:line="276" w:lineRule="auto"/>
        <w:jc w:val="both"/>
        <w:rPr>
          <w:rFonts w:cs="TimesNewRoman"/>
          <w:color w:val="FF0000"/>
          <w:spacing w:val="-4"/>
          <w:sz w:val="24"/>
          <w:szCs w:val="24"/>
        </w:rPr>
      </w:pPr>
      <w:r w:rsidRPr="00E30D60">
        <w:rPr>
          <w:color w:val="FF0000"/>
          <w:spacing w:val="-4"/>
          <w:sz w:val="24"/>
          <w:szCs w:val="24"/>
        </w:rPr>
        <w:lastRenderedPageBreak/>
        <w:t>2) részben vagy egészben felfüggesztheti a csomagolásért felelős személy vagy a jóváhagyott szervezet tevékenységét, a létesítmény működését, továbbá részben vagy egészben bezárathatja és zár alá veheti a létesítményt, illetve megtilthatja az e törvényben megjelölt csomagolások forgalomba hozatalát, vagy elrendelheti a csomagolások vagy csomagolási hulladékok piacról való kivonását.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(2) Bármilyen érdekelt fél kérheti az (1) bekezdésben megadott intézkedések alkalmazását.</w:t>
      </w:r>
    </w:p>
    <w:p w14:paraId="15C47735" w14:textId="77777777" w:rsidR="000147DB" w:rsidRPr="003E7524" w:rsidRDefault="000147DB" w:rsidP="000147DB">
      <w:pPr>
        <w:spacing w:after="0" w:line="240" w:lineRule="auto"/>
        <w:jc w:val="both"/>
        <w:rPr>
          <w:rFonts w:eastAsia="Times New Roman" w:cs="Arial"/>
        </w:rPr>
      </w:pPr>
      <w:r>
        <w:t>(3) Az (1) bekezdésben felsorolt intézkedések visszavonására akkor kerül sor, ha a csomagolásért felelős személy, a jóváhagyott szervezet vagy egyéb érintett személyek megfeleltek az előírásoknak.</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bCs/>
        </w:rPr>
        <w:t xml:space="preserve">22. cikk </w:t>
      </w:r>
      <w:r>
        <w:rPr>
          <w:b/>
          <w:bCs/>
          <w:iCs/>
        </w:rPr>
        <w:t>Jogorvoslati lehetőségek</w:t>
      </w:r>
    </w:p>
    <w:p w14:paraId="777CA2C3" w14:textId="77777777" w:rsidR="000147DB" w:rsidRPr="00E30D60" w:rsidRDefault="000147DB" w:rsidP="000147DB">
      <w:pPr>
        <w:spacing w:after="0" w:line="240" w:lineRule="auto"/>
        <w:jc w:val="both"/>
        <w:rPr>
          <w:rFonts w:eastAsia="Times New Roman" w:cs="Arial"/>
          <w:spacing w:val="-4"/>
        </w:rPr>
      </w:pPr>
      <w:r w:rsidRPr="00E30D60">
        <w:rPr>
          <w:spacing w:val="-4"/>
        </w:rPr>
        <w:t>Az e törvény értelmében hozott határozatokkal szemben a közigazgatási bíróság előtt kérhető jogorvoslat. A jogorvoslatot – hatályvesztés terhe mellett – a határozatról szóló értesítéstől számított negyven napon belül be kell nyújtani. A jogorvoslatot a 23. cikkben szereplő szövetségek és szervezetek is kezdeményezhetik.</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rFonts w:eastAsia="Times New Roman" w:cs="Arial"/>
          <w:color w:val="000000"/>
        </w:rPr>
      </w:pPr>
      <w:r>
        <w:rPr>
          <w:b/>
          <w:bCs/>
          <w:color w:val="000000"/>
        </w:rPr>
        <w:t xml:space="preserve">23. cikk </w:t>
      </w:r>
      <w:r>
        <w:rPr>
          <w:b/>
          <w:bCs/>
          <w:iCs/>
          <w:color w:val="000000"/>
        </w:rPr>
        <w:t>A jóváhagyott környezetvédő szervezetek keresetindítási joga</w:t>
      </w:r>
    </w:p>
    <w:p w14:paraId="54A6D588" w14:textId="7234A958" w:rsidR="000147DB" w:rsidRPr="003E7524" w:rsidRDefault="000147DB" w:rsidP="000147DB">
      <w:pPr>
        <w:spacing w:after="0" w:line="240" w:lineRule="auto"/>
        <w:jc w:val="both"/>
        <w:rPr>
          <w:rFonts w:eastAsia="Times New Roman" w:cs="Arial"/>
          <w:color w:val="000000"/>
        </w:rPr>
      </w:pPr>
      <w:r>
        <w:rPr>
          <w:color w:val="000000"/>
        </w:rPr>
        <w:t>A 2012. március 21-i törvény értelmében jóváhagyott szövetségek és szervezetek élhetnek polgári jogaikkal az e törvény szerinti szabálysértésnek minősülő cselekményekkel kapcsolatban, amelyek követlen vagy közvetett módon sértik az általuk képviselt közérdekeket, akkor is, ha ahhoz anyagi érdekük nem fűződik, illetve ha az általuk képviselt közérdek teljes mértékben megegyezik azzal a társadalmi érdekkel, amelynek védelmét az ügyészség ellátja. Ugyanez vonatkozik a jogi személyiséggel rendelkező külföldi jogrendszer alá tartozó szövetségekre és szervezetekre, amelyek az alapszabályukban foglalt tevékenységeket a környezetvédelem területén végzik.</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szCs w:val="24"/>
          <w:u w:val="single"/>
        </w:rPr>
        <w:t>24. cikk Mellékletek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szCs w:val="24"/>
        </w:rPr>
        <w:t>24. cikk Az Európai Bizottság jogi aktusaival a 19. cikk (2) bekezdésének és 21a. cikknek megfelelően módosított, a csomagolásról és csomagolási hulladékokról szóló 1994. december 20-i 94/62/EK európai parlamenti és a tanácsi irányelv I. mellékletének módosításai.</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Az Európai Bizottság jogi aktusaival a 19. cikk (2) bekezdésének és 21a. cikknek megfelelően módosított, a csomagolásról és csomagolási hulladékokról szóló 1994. december 20-i 94/62/EK európai parlamenti és a tanácsi irányelv I. mellékletének módosításai az Európai Bizottság kapcsolódó aktusainak hatálybalépési dátumától alkalmazandók.</w:t>
      </w:r>
    </w:p>
    <w:p w14:paraId="6EBC782C"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 xml:space="preserve">A miniszter a Luxemburgi Nagyhercegség közlönyében fogja egy értesítésben közzétenni a módosításokat és az Európai Unió Hivatalos Lapjában kiadott aktusra való hivatkozást.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I. MELLÉKLET</w:t>
      </w:r>
    </w:p>
    <w:p w14:paraId="3C2BC896" w14:textId="77777777" w:rsidR="000147DB" w:rsidRPr="003E7524" w:rsidRDefault="000147DB" w:rsidP="00B972B3">
      <w:pPr>
        <w:keepNext/>
        <w:keepLines/>
        <w:spacing w:after="0" w:line="240" w:lineRule="auto"/>
        <w:jc w:val="center"/>
        <w:rPr>
          <w:rFonts w:eastAsia="Times New Roman" w:cs="Arial"/>
          <w:b/>
          <w:bCs/>
          <w:color w:val="000000"/>
        </w:rPr>
      </w:pPr>
      <w:r>
        <w:rPr>
          <w:b/>
          <w:bCs/>
          <w:color w:val="000000"/>
        </w:rPr>
        <w:t>A csomagolások összetételére és újrahasználhatósági, hasznosíthatósági (illetve újrafeldolgozhatósági) jellegére vonatkozó alapkövetelmények</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bCs/>
        </w:rPr>
        <w:t xml:space="preserve">1) </w:t>
      </w:r>
      <w:r>
        <w:rPr>
          <w:b/>
          <w:bCs/>
          <w:iCs/>
        </w:rPr>
        <w:t>A csomagolások gyártására és összetételére vonatkozó követelmények</w:t>
      </w:r>
    </w:p>
    <w:p w14:paraId="174C3BC4" w14:textId="77777777" w:rsidR="000147DB" w:rsidRPr="003E7524" w:rsidRDefault="000147DB" w:rsidP="000147DB">
      <w:pPr>
        <w:spacing w:after="0" w:line="240" w:lineRule="auto"/>
        <w:jc w:val="both"/>
        <w:rPr>
          <w:rFonts w:eastAsia="Times New Roman" w:cs="Arial"/>
          <w:color w:val="000000"/>
        </w:rPr>
      </w:pPr>
      <w:r>
        <w:rPr>
          <w:color w:val="000000"/>
        </w:rPr>
        <w:t>a) A csomagolás gyártásánál ügyelni kell arra, hogy a csomagolás térfogata és tömege a lehető legkisebb legyen a biztonsági, higiéniai és elfogadhatósági követelmények szükséges mértékének biztosítása mellett, mind a becsomagolt termék, mind a fogyasztó szempontjából.</w:t>
      </w:r>
    </w:p>
    <w:p w14:paraId="629D9CA7" w14:textId="17BC5018"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b) A csomagolás tervezése, gyártása és forgalmazása során biztosítani kell annak újrafelhasználását és hasznosítását – beleértve az újrafeldolgozást is – a hulladékhierarchiának megfelelően, és minimálisra kell csökkenteni a környezetre gyakorolt hatást maguk a csomagolási hulladékok vagy a csomagolási hulladékgazdálkodás műveleteiből visszamaradó anyagok ártalmatlanítása során.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3E7524" w:rsidRDefault="000147DB" w:rsidP="000147DB">
      <w:pPr>
        <w:spacing w:after="0" w:line="240" w:lineRule="auto"/>
        <w:jc w:val="both"/>
        <w:rPr>
          <w:rFonts w:eastAsia="Times New Roman" w:cs="Arial"/>
          <w:color w:val="000000"/>
        </w:rPr>
      </w:pPr>
      <w:r>
        <w:rPr>
          <w:color w:val="000000"/>
        </w:rPr>
        <w:t>c) A csomagolás gyártása során gondoskodni kell a csomagolást és annak elemeit alkotó anyagokban lévő káros és egyéb veszélyes anyagok mennyiségének minimálisra csökkentéséről, tekintettel a hulladékégetés során keletkező kibocsátott gázokban, hamuban vagy csurgalékvízben, illetve a lerakott csomagolási hulladékokban vagy a csomagolási hulladékgazdálkodás műveleteiből visszamaradó anyagokban való jelenlétükre.</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rFonts w:eastAsia="Times New Roman" w:cs="Arial"/>
          <w:color w:val="000000"/>
        </w:rPr>
      </w:pPr>
      <w:r>
        <w:rPr>
          <w:b/>
          <w:bCs/>
          <w:color w:val="000000"/>
        </w:rPr>
        <w:t xml:space="preserve">2) </w:t>
      </w:r>
      <w:r>
        <w:rPr>
          <w:b/>
          <w:bCs/>
          <w:iCs/>
          <w:color w:val="000000"/>
        </w:rPr>
        <w:t>A csomagolások újrahasználhatósági jellegére vonatkozó követelmények</w:t>
      </w:r>
    </w:p>
    <w:p w14:paraId="632929B6" w14:textId="77777777" w:rsidR="000147DB" w:rsidRPr="003E7524" w:rsidRDefault="000147DB" w:rsidP="00B972B3">
      <w:pPr>
        <w:keepNext/>
        <w:keepLines/>
        <w:spacing w:after="0" w:line="240" w:lineRule="auto"/>
        <w:jc w:val="both"/>
        <w:rPr>
          <w:rFonts w:eastAsia="Times New Roman" w:cs="Arial"/>
          <w:color w:val="000000"/>
        </w:rPr>
      </w:pPr>
      <w:r>
        <w:rPr>
          <w:color w:val="000000"/>
        </w:rPr>
        <w:t>A csomagolásnak a következő követelményeknek kell egyszerre megfelelnie:</w:t>
      </w:r>
    </w:p>
    <w:p w14:paraId="3D32190A" w14:textId="77777777" w:rsidR="000147DB" w:rsidRPr="003E7524" w:rsidRDefault="000147DB" w:rsidP="000147DB">
      <w:pPr>
        <w:spacing w:after="0" w:line="240" w:lineRule="auto"/>
        <w:jc w:val="both"/>
        <w:rPr>
          <w:rFonts w:eastAsia="Times New Roman" w:cs="Arial"/>
          <w:color w:val="000000"/>
        </w:rPr>
      </w:pPr>
      <w:r>
        <w:rPr>
          <w:color w:val="000000"/>
        </w:rPr>
        <w:t>a) fizikait tulajdonságainak és jellemzőinek köszönhetően a várható normál használati körülmények mellett többször alkalmazható egy adott útvonalon vagy rotációban,</w:t>
      </w:r>
    </w:p>
    <w:p w14:paraId="45F75A04" w14:textId="77777777" w:rsidR="000147DB" w:rsidRPr="003E7524" w:rsidRDefault="000147DB" w:rsidP="000147DB">
      <w:pPr>
        <w:spacing w:after="0" w:line="240" w:lineRule="auto"/>
        <w:jc w:val="both"/>
        <w:rPr>
          <w:rFonts w:eastAsia="Times New Roman" w:cs="Arial"/>
          <w:color w:val="000000"/>
        </w:rPr>
      </w:pPr>
      <w:r>
        <w:rPr>
          <w:color w:val="000000"/>
        </w:rPr>
        <w:t>b) a használt csomagolás kezelése a munkavállalók biztonságával és egészségvédelmével kapcsolatos követelményeknek kielégítése mellett lehetséges,</w:t>
      </w:r>
    </w:p>
    <w:p w14:paraId="3D452CEF" w14:textId="77777777" w:rsidR="000147DB" w:rsidRPr="003E7524" w:rsidRDefault="000147DB" w:rsidP="000147DB">
      <w:pPr>
        <w:spacing w:after="0" w:line="240" w:lineRule="auto"/>
        <w:jc w:val="both"/>
        <w:rPr>
          <w:rFonts w:eastAsia="Times New Roman" w:cs="Arial"/>
          <w:color w:val="000000"/>
        </w:rPr>
      </w:pPr>
      <w:r>
        <w:rPr>
          <w:color w:val="000000"/>
        </w:rPr>
        <w:t>c) a továbbiakban nem használható, és ezáltal hulladékká váló csomagolás hasznosítására vonatkozó követelmények tiszteletben lettek tartva.</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rFonts w:eastAsia="Times New Roman" w:cs="Arial"/>
          <w:b/>
          <w:bCs/>
          <w:iCs/>
          <w:color w:val="000000"/>
        </w:rPr>
      </w:pPr>
      <w:r>
        <w:rPr>
          <w:b/>
          <w:bCs/>
          <w:iCs/>
          <w:color w:val="000000"/>
        </w:rPr>
        <w:t>3) A csomagolások hasznosíthatósági jellegére vonatkozó követelmények</w:t>
      </w:r>
    </w:p>
    <w:p w14:paraId="1EE282C0"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a) Az anyagok újrafeldolgozásával hasznosítható csomagolás </w:t>
      </w:r>
    </w:p>
    <w:p w14:paraId="72BEBD90" w14:textId="77777777" w:rsidR="000147DB" w:rsidRPr="003E7524" w:rsidRDefault="000147DB" w:rsidP="000147DB">
      <w:pPr>
        <w:spacing w:after="0" w:line="240" w:lineRule="auto"/>
        <w:jc w:val="both"/>
        <w:rPr>
          <w:rFonts w:eastAsia="Times New Roman" w:cs="Arial"/>
          <w:color w:val="000000"/>
        </w:rPr>
      </w:pPr>
      <w:r>
        <w:rPr>
          <w:color w:val="000000"/>
        </w:rPr>
        <w:t>A csomagolás gyártása során biztosítani kell, hogy a használt anyagok tömegének egy bizonyos százaléka újrafeldolgozható legyen, és felhasználható legyen értékesíthető javak gyártására az Európai Unióban hatályos jogszabályok betartása mellett. E százalék meghatározása a csomagolást alkotó anyagok típusától eltérően változhat.</w:t>
      </w:r>
    </w:p>
    <w:p w14:paraId="1A7B37E6"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b) Energetikai hasznosításra szolgáló csomagolás </w:t>
      </w:r>
    </w:p>
    <w:p w14:paraId="041C2C54" w14:textId="77777777" w:rsidR="000147DB" w:rsidRPr="003E7524" w:rsidRDefault="000147DB" w:rsidP="000147DB">
      <w:pPr>
        <w:spacing w:after="0" w:line="240" w:lineRule="auto"/>
        <w:jc w:val="both"/>
        <w:rPr>
          <w:rFonts w:eastAsia="Times New Roman" w:cs="Arial"/>
          <w:color w:val="000000"/>
        </w:rPr>
      </w:pPr>
      <w:r>
        <w:rPr>
          <w:color w:val="000000"/>
        </w:rPr>
        <w:t>Az energetikai hasznosítás céljából kezelt csomagolási hulladékoknak minimális alsó fűtőértékkel kell rendelkezniük az energia-visszanyerés optimalizálása érdekében.</w:t>
      </w:r>
    </w:p>
    <w:p w14:paraId="47DD47B7"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c) Komposztálással hasznosított csomagolás </w:t>
      </w:r>
    </w:p>
    <w:p w14:paraId="0F150FF9" w14:textId="77777777" w:rsidR="000147DB" w:rsidRPr="00E30D60" w:rsidRDefault="000147DB" w:rsidP="000147DB">
      <w:pPr>
        <w:spacing w:after="0" w:line="240" w:lineRule="auto"/>
        <w:jc w:val="both"/>
        <w:rPr>
          <w:rFonts w:eastAsia="Times New Roman" w:cs="Arial"/>
          <w:color w:val="000000"/>
          <w:spacing w:val="-4"/>
        </w:rPr>
      </w:pPr>
      <w:r w:rsidRPr="00E30D60">
        <w:rPr>
          <w:color w:val="000000"/>
          <w:spacing w:val="-4"/>
        </w:rPr>
        <w:t>A komposztálás céljából kezelt csomagolási hulladékoknak megfelelő mértékben biológiailag lebonthatónak kell lenniük, hogy ne akadályozzák a szelektív hulladékgyűjtést, sem a komposztálási tevékenységet.</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rFonts w:cs="TimesNewRoman"/>
          <w:color w:val="FF0000"/>
          <w:sz w:val="24"/>
          <w:szCs w:val="24"/>
        </w:rPr>
      </w:pPr>
      <w:r>
        <w:rPr>
          <w:color w:val="FF0000"/>
          <w:sz w:val="24"/>
          <w:szCs w:val="24"/>
        </w:rPr>
        <w:lastRenderedPageBreak/>
        <w:t>d) Biológiailag lebontható csomagolás</w:t>
      </w:r>
    </w:p>
    <w:p w14:paraId="7A56FE8C"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 xml:space="preserve">A biológiailag lebontható csomagolási hulladékoknak olyan jellemzőkkel kell bírniuk, amelyek lehetővé teszik a fizikai, kémiai, termikus vagy biológiai lebomlást, mint ahogy például az elkészült komposzt túlnyomó része szén-dioxidra, biomasszára és vízre bomlik le. </w:t>
      </w:r>
    </w:p>
    <w:p w14:paraId="76704C00" w14:textId="77777777" w:rsidR="000147DB" w:rsidRPr="003E7524" w:rsidRDefault="000147DB" w:rsidP="000147DB">
      <w:pPr>
        <w:autoSpaceDE w:val="0"/>
        <w:autoSpaceDN w:val="0"/>
        <w:adjustRightInd w:val="0"/>
        <w:spacing w:after="0"/>
        <w:jc w:val="both"/>
        <w:rPr>
          <w:rFonts w:cs="TimesNewRoman"/>
          <w:sz w:val="24"/>
          <w:szCs w:val="24"/>
        </w:rPr>
      </w:pPr>
      <w:r>
        <w:rPr>
          <w:color w:val="FF0000"/>
          <w:sz w:val="24"/>
          <w:szCs w:val="24"/>
        </w:rPr>
        <w:t>Az oxidatív úton lebomló műanyag csomagolások nem tekinthetők biológiailag lebontható csomagolásnak.</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rFonts w:eastAsia="Times New Roman" w:cs="Arial"/>
          <w:b/>
        </w:rPr>
      </w:pPr>
      <w:r>
        <w:rPr>
          <w:b/>
        </w:rPr>
        <w:t>II. MELLÉKLET</w:t>
      </w:r>
    </w:p>
    <w:p w14:paraId="08D0C795" w14:textId="77777777" w:rsidR="000147DB" w:rsidRPr="003E7524" w:rsidRDefault="000147DB" w:rsidP="00B972B3">
      <w:pPr>
        <w:keepNext/>
        <w:keepLines/>
        <w:spacing w:after="0" w:line="240" w:lineRule="auto"/>
        <w:jc w:val="center"/>
        <w:rPr>
          <w:rFonts w:eastAsia="Times New Roman" w:cs="Arial"/>
          <w:b/>
          <w:bCs/>
        </w:rPr>
      </w:pPr>
      <w:r>
        <w:rPr>
          <w:b/>
          <w:bCs/>
        </w:rPr>
        <w:t>Környezetvédelmi megállapodás</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Az e törvényben szereplő környezetvédelmi megállapodásokra a következő szabályok vonatkoznak:</w:t>
      </w:r>
    </w:p>
    <w:p w14:paraId="26FA5C49" w14:textId="77777777" w:rsidR="000147DB" w:rsidRPr="003E7524" w:rsidRDefault="000147DB" w:rsidP="000147DB">
      <w:pPr>
        <w:spacing w:after="0" w:line="240" w:lineRule="auto"/>
        <w:jc w:val="both"/>
        <w:rPr>
          <w:rFonts w:eastAsia="Times New Roman" w:cs="Arial"/>
        </w:rPr>
      </w:pPr>
      <w:r>
        <w:t>1) A megállapodásokban meg kell határozni azok tárgyát és időtartamát.</w:t>
      </w:r>
    </w:p>
    <w:p w14:paraId="6DB322CD" w14:textId="77777777" w:rsidR="000147DB" w:rsidRPr="003E7524" w:rsidRDefault="000147DB" w:rsidP="000147DB">
      <w:pPr>
        <w:spacing w:after="0" w:line="240" w:lineRule="auto"/>
        <w:jc w:val="both"/>
        <w:rPr>
          <w:rFonts w:eastAsia="Times New Roman" w:cs="Arial"/>
        </w:rPr>
      </w:pPr>
      <w:r>
        <w:t>2) A megállapodások és az azok végrehajtásával elért eredmények a nyilvánosság számára elérhetők, és a miniszter továbbítja őket az Európai Bizottságnak.</w:t>
      </w:r>
    </w:p>
    <w:p w14:paraId="0C4AFADA" w14:textId="77777777" w:rsidR="000147DB" w:rsidRPr="003E7524" w:rsidRDefault="000147DB" w:rsidP="000147DB">
      <w:pPr>
        <w:spacing w:after="0" w:line="240" w:lineRule="auto"/>
        <w:jc w:val="both"/>
        <w:rPr>
          <w:rFonts w:eastAsia="Times New Roman" w:cs="Arial"/>
        </w:rPr>
      </w:pPr>
      <w:r>
        <w:t>3) A megállapodások végrehajtását a közigazgatási szerv rendszeresen ellenőrzi.</w:t>
      </w:r>
    </w:p>
    <w:p w14:paraId="338631B9" w14:textId="77777777" w:rsidR="000147DB" w:rsidRPr="003E7524" w:rsidRDefault="000147DB" w:rsidP="000147DB">
      <w:pPr>
        <w:spacing w:after="0" w:line="240" w:lineRule="auto"/>
        <w:jc w:val="both"/>
        <w:rPr>
          <w:rFonts w:eastAsia="Times New Roman" w:cs="Arial"/>
        </w:rPr>
      </w:pPr>
      <w:r>
        <w:t>4) A megállapodásokban szerepelnek a megállapodás, illetve annak rendelkezéseinek megsértése esetén alkalmazandó intézkedések és szankciók.</w:t>
      </w:r>
    </w:p>
    <w:p w14:paraId="3E2E4659" w14:textId="77777777" w:rsidR="000147DB" w:rsidRPr="003E7524" w:rsidRDefault="000147DB" w:rsidP="000147DB">
      <w:pPr>
        <w:spacing w:after="0" w:line="240" w:lineRule="auto"/>
        <w:jc w:val="both"/>
        <w:rPr>
          <w:rFonts w:eastAsia="Times New Roman" w:cs="Arial"/>
        </w:rPr>
      </w:pPr>
      <w:r>
        <w:t>5) A megállapodások egy adott időtartamra szólnak, amely nem lehet hosszabb öt évnél. A hallgatólagos megújítás nem lehetséges.</w:t>
      </w:r>
    </w:p>
    <w:p w14:paraId="104D8A65" w14:textId="77777777" w:rsidR="000147DB" w:rsidRPr="003E7524" w:rsidRDefault="000147DB" w:rsidP="000147DB">
      <w:pPr>
        <w:spacing w:after="0" w:line="240" w:lineRule="auto"/>
        <w:jc w:val="both"/>
        <w:rPr>
          <w:rFonts w:eastAsia="Times New Roman" w:cs="Arial"/>
        </w:rPr>
      </w:pPr>
      <w:r>
        <w:t>6) A megállapodások a meghatározott időtartam leteltekor, a célok megvalósításakor vagy a felek közös megegyezése esetén érnek véget.</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XXXXX-i törvény</w:t>
      </w:r>
    </w:p>
    <w:p w14:paraId="4FF80B34" w14:textId="22A2854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szCs w:val="24"/>
          <w:u w:val="single"/>
        </w:rPr>
        <w:t>III. MELLÉKLET</w:t>
      </w:r>
    </w:p>
    <w:p w14:paraId="79D2B46F"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bCs/>
          <w:color w:val="FF0000"/>
          <w:sz w:val="24"/>
          <w:szCs w:val="24"/>
          <w:u w:val="single"/>
        </w:rPr>
        <w:t>Az 5. cikk (1) bekezdésének 1. pontjában hivatkozott gyümölcsök és zöldségek listája</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Friss gyümölcsök</w:t>
            </w:r>
          </w:p>
        </w:tc>
        <w:tc>
          <w:tcPr>
            <w:tcW w:w="4675" w:type="dxa"/>
          </w:tcPr>
          <w:p w14:paraId="5DD24357" w14:textId="77777777" w:rsidR="000147DB" w:rsidRPr="00B972B3" w:rsidRDefault="000147DB" w:rsidP="000147DB">
            <w:pPr>
              <w:rPr>
                <w:b/>
                <w:color w:val="FF0000"/>
                <w:spacing w:val="-4"/>
              </w:rPr>
            </w:pPr>
            <w:r>
              <w:rPr>
                <w:b/>
                <w:color w:val="FF0000"/>
              </w:rPr>
              <w:t>Friss zöldségek</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Ananász</w:t>
            </w:r>
          </w:p>
        </w:tc>
        <w:tc>
          <w:tcPr>
            <w:tcW w:w="4675" w:type="dxa"/>
          </w:tcPr>
          <w:p w14:paraId="08482F53" w14:textId="77777777" w:rsidR="000147DB" w:rsidRPr="00B972B3" w:rsidRDefault="000147DB" w:rsidP="000147DB">
            <w:pPr>
              <w:rPr>
                <w:color w:val="FF0000"/>
                <w:spacing w:val="-4"/>
              </w:rPr>
            </w:pPr>
            <w:r>
              <w:rPr>
                <w:color w:val="FF0000"/>
              </w:rPr>
              <w:t>Fokhagyma</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Sárgabarack</w:t>
            </w:r>
          </w:p>
        </w:tc>
        <w:tc>
          <w:tcPr>
            <w:tcW w:w="4675" w:type="dxa"/>
          </w:tcPr>
          <w:p w14:paraId="3AFF19ED" w14:textId="77777777" w:rsidR="000147DB" w:rsidRPr="00B972B3" w:rsidRDefault="000147DB" w:rsidP="000147DB">
            <w:pPr>
              <w:rPr>
                <w:color w:val="FF0000"/>
                <w:spacing w:val="-4"/>
              </w:rPr>
            </w:pPr>
            <w:r>
              <w:rPr>
                <w:color w:val="FF0000"/>
              </w:rPr>
              <w:t>Articsóka</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Avokádó </w:t>
            </w:r>
          </w:p>
        </w:tc>
        <w:tc>
          <w:tcPr>
            <w:tcW w:w="4675" w:type="dxa"/>
          </w:tcPr>
          <w:p w14:paraId="2478D876" w14:textId="77777777" w:rsidR="000147DB" w:rsidRPr="00B972B3" w:rsidRDefault="000147DB" w:rsidP="000147DB">
            <w:pPr>
              <w:rPr>
                <w:color w:val="FF0000"/>
                <w:spacing w:val="-4"/>
              </w:rPr>
            </w:pPr>
            <w:r>
              <w:rPr>
                <w:color w:val="FF0000"/>
              </w:rPr>
              <w:t>Spárga</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Banán</w:t>
            </w:r>
          </w:p>
        </w:tc>
        <w:tc>
          <w:tcPr>
            <w:tcW w:w="4675" w:type="dxa"/>
          </w:tcPr>
          <w:p w14:paraId="3DDEEA9A" w14:textId="77777777" w:rsidR="000147DB" w:rsidRPr="00B972B3" w:rsidRDefault="000147DB" w:rsidP="000147DB">
            <w:pPr>
              <w:rPr>
                <w:color w:val="FF0000"/>
                <w:spacing w:val="-4"/>
              </w:rPr>
            </w:pPr>
            <w:r>
              <w:rPr>
                <w:color w:val="FF0000"/>
              </w:rPr>
              <w:t>Padlizsán</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Csillaggyümölcs </w:t>
            </w:r>
          </w:p>
        </w:tc>
        <w:tc>
          <w:tcPr>
            <w:tcW w:w="4675" w:type="dxa"/>
          </w:tcPr>
          <w:p w14:paraId="7AC5C4A8" w14:textId="77777777" w:rsidR="000147DB" w:rsidRPr="00B972B3" w:rsidRDefault="000147DB" w:rsidP="000147DB">
            <w:pPr>
              <w:rPr>
                <w:color w:val="FF0000"/>
                <w:spacing w:val="-4"/>
              </w:rPr>
            </w:pPr>
            <w:r>
              <w:rPr>
                <w:color w:val="FF0000"/>
              </w:rPr>
              <w:t>Cékla</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Cseresznye</w:t>
            </w:r>
          </w:p>
        </w:tc>
        <w:tc>
          <w:tcPr>
            <w:tcW w:w="4675" w:type="dxa"/>
          </w:tcPr>
          <w:p w14:paraId="2B969983" w14:textId="77777777" w:rsidR="000147DB" w:rsidRPr="00B972B3" w:rsidRDefault="000147DB" w:rsidP="000147DB">
            <w:pPr>
              <w:rPr>
                <w:color w:val="FF0000"/>
                <w:spacing w:val="-4"/>
              </w:rPr>
            </w:pPr>
            <w:r>
              <w:rPr>
                <w:color w:val="FF0000"/>
              </w:rPr>
              <w:t xml:space="preserve">Brokkoli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Citrom</w:t>
            </w:r>
          </w:p>
        </w:tc>
        <w:tc>
          <w:tcPr>
            <w:tcW w:w="4675" w:type="dxa"/>
          </w:tcPr>
          <w:p w14:paraId="47A7B036" w14:textId="77777777" w:rsidR="000147DB" w:rsidRPr="00B972B3" w:rsidRDefault="000147DB" w:rsidP="000147DB">
            <w:pPr>
              <w:rPr>
                <w:color w:val="FF0000"/>
                <w:spacing w:val="-4"/>
              </w:rPr>
            </w:pPr>
            <w:r>
              <w:rPr>
                <w:color w:val="FF0000"/>
              </w:rPr>
              <w:t>Sárgarépa</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Zöld citrom</w:t>
            </w:r>
          </w:p>
        </w:tc>
        <w:tc>
          <w:tcPr>
            <w:tcW w:w="4675" w:type="dxa"/>
          </w:tcPr>
          <w:p w14:paraId="453BF889" w14:textId="77777777" w:rsidR="000147DB" w:rsidRPr="00B972B3" w:rsidRDefault="000147DB" w:rsidP="000147DB">
            <w:pPr>
              <w:rPr>
                <w:color w:val="FF0000"/>
                <w:spacing w:val="-4"/>
              </w:rPr>
            </w:pPr>
            <w:r>
              <w:rPr>
                <w:color w:val="FF0000"/>
              </w:rPr>
              <w:t>Zeller</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lastRenderedPageBreak/>
              <w:t>Klementin</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Birs</w:t>
            </w:r>
          </w:p>
        </w:tc>
        <w:tc>
          <w:tcPr>
            <w:tcW w:w="4675" w:type="dxa"/>
          </w:tcPr>
          <w:p w14:paraId="7F3699D7" w14:textId="77777777" w:rsidR="000147DB" w:rsidRPr="00B972B3" w:rsidRDefault="000147DB" w:rsidP="000147DB">
            <w:pPr>
              <w:rPr>
                <w:color w:val="FF0000"/>
                <w:spacing w:val="-4"/>
              </w:rPr>
            </w:pPr>
            <w:r>
              <w:rPr>
                <w:color w:val="FF0000"/>
              </w:rPr>
              <w:t>Kelbimbó</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Füge</w:t>
            </w:r>
          </w:p>
        </w:tc>
        <w:tc>
          <w:tcPr>
            <w:tcW w:w="4675" w:type="dxa"/>
          </w:tcPr>
          <w:p w14:paraId="7D013B00" w14:textId="77777777" w:rsidR="000147DB" w:rsidRPr="00B972B3" w:rsidRDefault="000147DB" w:rsidP="000147DB">
            <w:pPr>
              <w:rPr>
                <w:color w:val="FF0000"/>
                <w:spacing w:val="-4"/>
              </w:rPr>
            </w:pPr>
            <w:r>
              <w:rPr>
                <w:color w:val="FF0000"/>
              </w:rPr>
              <w:t xml:space="preserve">Karfiol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Maracuja</w:t>
            </w:r>
          </w:p>
        </w:tc>
        <w:tc>
          <w:tcPr>
            <w:tcW w:w="4675" w:type="dxa"/>
          </w:tcPr>
          <w:p w14:paraId="20A94445" w14:textId="77777777" w:rsidR="000147DB" w:rsidRPr="00B972B3" w:rsidRDefault="000147DB" w:rsidP="000147DB">
            <w:pPr>
              <w:rPr>
                <w:color w:val="FF0000"/>
                <w:spacing w:val="-4"/>
              </w:rPr>
            </w:pPr>
            <w:r>
              <w:rPr>
                <w:color w:val="FF0000"/>
              </w:rPr>
              <w:t xml:space="preserve">Karalábé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Guajáva </w:t>
            </w:r>
          </w:p>
        </w:tc>
        <w:tc>
          <w:tcPr>
            <w:tcW w:w="4675" w:type="dxa"/>
          </w:tcPr>
          <w:p w14:paraId="31DCAFA7" w14:textId="77777777" w:rsidR="000147DB" w:rsidRPr="00B972B3" w:rsidRDefault="000147DB" w:rsidP="000147DB">
            <w:pPr>
              <w:rPr>
                <w:color w:val="FF0000"/>
                <w:spacing w:val="-4"/>
              </w:rPr>
            </w:pPr>
            <w:r>
              <w:rPr>
                <w:color w:val="FF0000"/>
              </w:rPr>
              <w:t>Vörös káposzta</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t xml:space="preserve">Gránátalma </w:t>
            </w:r>
          </w:p>
        </w:tc>
        <w:tc>
          <w:tcPr>
            <w:tcW w:w="4675" w:type="dxa"/>
          </w:tcPr>
          <w:p w14:paraId="2E7E8615" w14:textId="77777777" w:rsidR="000147DB" w:rsidRPr="00B972B3" w:rsidRDefault="000147DB" w:rsidP="000147DB">
            <w:pPr>
              <w:rPr>
                <w:color w:val="FF0000"/>
                <w:spacing w:val="-4"/>
              </w:rPr>
            </w:pPr>
            <w:r>
              <w:rPr>
                <w:color w:val="FF0000"/>
              </w:rPr>
              <w:t>Leveles kel</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Kivi</w:t>
            </w:r>
          </w:p>
        </w:tc>
        <w:tc>
          <w:tcPr>
            <w:tcW w:w="4675" w:type="dxa"/>
          </w:tcPr>
          <w:p w14:paraId="0CB65944" w14:textId="77777777" w:rsidR="000147DB" w:rsidRPr="00B972B3" w:rsidRDefault="000147DB" w:rsidP="000147DB">
            <w:pPr>
              <w:rPr>
                <w:color w:val="FF0000"/>
                <w:spacing w:val="-4"/>
              </w:rPr>
            </w:pPr>
            <w:r>
              <w:rPr>
                <w:color w:val="FF0000"/>
              </w:rPr>
              <w:t>Uborka</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t>Licsi</w:t>
            </w:r>
          </w:p>
        </w:tc>
        <w:tc>
          <w:tcPr>
            <w:tcW w:w="4675" w:type="dxa"/>
          </w:tcPr>
          <w:p w14:paraId="07FD18D1" w14:textId="77777777" w:rsidR="000147DB" w:rsidRPr="00B972B3" w:rsidRDefault="000147DB" w:rsidP="000147DB">
            <w:pPr>
              <w:rPr>
                <w:color w:val="FF0000"/>
                <w:spacing w:val="-4"/>
              </w:rPr>
            </w:pPr>
            <w:r>
              <w:rPr>
                <w:color w:val="FF0000"/>
              </w:rPr>
              <w:t>Tök</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Mandarin</w:t>
            </w:r>
          </w:p>
        </w:tc>
        <w:tc>
          <w:tcPr>
            <w:tcW w:w="4675" w:type="dxa"/>
          </w:tcPr>
          <w:p w14:paraId="1E3114C2" w14:textId="77777777" w:rsidR="000147DB" w:rsidRPr="00B972B3" w:rsidRDefault="000147DB" w:rsidP="000147DB">
            <w:pPr>
              <w:rPr>
                <w:color w:val="FF0000"/>
                <w:spacing w:val="-4"/>
              </w:rPr>
            </w:pPr>
            <w:r>
              <w:rPr>
                <w:color w:val="FF0000"/>
              </w:rPr>
              <w:t xml:space="preserve">Cukkini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Mangó</w:t>
            </w:r>
          </w:p>
        </w:tc>
        <w:tc>
          <w:tcPr>
            <w:tcW w:w="4675" w:type="dxa"/>
          </w:tcPr>
          <w:p w14:paraId="67C4D77E" w14:textId="77777777" w:rsidR="000147DB" w:rsidRPr="00B972B3" w:rsidRDefault="000147DB" w:rsidP="000147DB">
            <w:pPr>
              <w:rPr>
                <w:color w:val="FF0000"/>
                <w:spacing w:val="-4"/>
              </w:rPr>
            </w:pPr>
            <w:r>
              <w:rPr>
                <w:color w:val="FF0000"/>
              </w:rPr>
              <w:t xml:space="preserve">Bab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Sárgadinnye</w:t>
            </w:r>
          </w:p>
        </w:tc>
        <w:tc>
          <w:tcPr>
            <w:tcW w:w="4675" w:type="dxa"/>
          </w:tcPr>
          <w:p w14:paraId="64BDF842" w14:textId="77777777" w:rsidR="000147DB" w:rsidRPr="00B972B3" w:rsidRDefault="000147DB" w:rsidP="000147DB">
            <w:pPr>
              <w:rPr>
                <w:color w:val="FF0000"/>
                <w:spacing w:val="-4"/>
              </w:rPr>
            </w:pPr>
            <w:r>
              <w:rPr>
                <w:color w:val="FF0000"/>
              </w:rPr>
              <w:t>Endívia</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Mirabella</w:t>
            </w:r>
          </w:p>
        </w:tc>
        <w:tc>
          <w:tcPr>
            <w:tcW w:w="4675" w:type="dxa"/>
          </w:tcPr>
          <w:p w14:paraId="716EDB7B" w14:textId="77777777" w:rsidR="000147DB" w:rsidRPr="00B972B3" w:rsidRDefault="000147DB" w:rsidP="000147DB">
            <w:pPr>
              <w:rPr>
                <w:color w:val="FF0000"/>
                <w:spacing w:val="-4"/>
              </w:rPr>
            </w:pPr>
            <w:r>
              <w:rPr>
                <w:color w:val="FF0000"/>
              </w:rPr>
              <w:t>Kapor</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Nektarin</w:t>
            </w:r>
          </w:p>
        </w:tc>
        <w:tc>
          <w:tcPr>
            <w:tcW w:w="4675" w:type="dxa"/>
          </w:tcPr>
          <w:p w14:paraId="34F5A88D" w14:textId="77777777" w:rsidR="000147DB" w:rsidRPr="00B972B3" w:rsidRDefault="000147DB" w:rsidP="000147DB">
            <w:pPr>
              <w:rPr>
                <w:color w:val="FF0000"/>
                <w:spacing w:val="-4"/>
              </w:rPr>
            </w:pPr>
            <w:r>
              <w:rPr>
                <w:color w:val="FF0000"/>
              </w:rPr>
              <w:t>Kukorica</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Narancs</w:t>
            </w:r>
          </w:p>
        </w:tc>
        <w:tc>
          <w:tcPr>
            <w:tcW w:w="4675" w:type="dxa"/>
          </w:tcPr>
          <w:p w14:paraId="00AE1AA5" w14:textId="77777777" w:rsidR="000147DB" w:rsidRPr="00B972B3" w:rsidRDefault="000147DB" w:rsidP="000147DB">
            <w:pPr>
              <w:rPr>
                <w:color w:val="FF0000"/>
                <w:spacing w:val="-4"/>
              </w:rPr>
            </w:pPr>
            <w:r>
              <w:rPr>
                <w:color w:val="FF0000"/>
              </w:rPr>
              <w:t>Fehérrépa</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Papaya</w:t>
            </w:r>
          </w:p>
        </w:tc>
        <w:tc>
          <w:tcPr>
            <w:tcW w:w="4675" w:type="dxa"/>
          </w:tcPr>
          <w:p w14:paraId="075DB470" w14:textId="77777777" w:rsidR="000147DB" w:rsidRPr="00B972B3" w:rsidRDefault="000147DB" w:rsidP="000147DB">
            <w:pPr>
              <w:rPr>
                <w:color w:val="FF0000"/>
                <w:spacing w:val="-4"/>
              </w:rPr>
            </w:pPr>
            <w:r>
              <w:rPr>
                <w:color w:val="FF0000"/>
              </w:rPr>
              <w:t>Hagyma</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Póréhagyma</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Őszibarack</w:t>
            </w:r>
          </w:p>
        </w:tc>
        <w:tc>
          <w:tcPr>
            <w:tcW w:w="4675" w:type="dxa"/>
          </w:tcPr>
          <w:p w14:paraId="5243B15C" w14:textId="77777777" w:rsidR="000147DB" w:rsidRPr="00B972B3" w:rsidRDefault="000147DB" w:rsidP="000147DB">
            <w:pPr>
              <w:rPr>
                <w:color w:val="FF0000"/>
                <w:spacing w:val="-4"/>
              </w:rPr>
            </w:pPr>
            <w:r>
              <w:rPr>
                <w:color w:val="FF0000"/>
              </w:rPr>
              <w:t>Paprika</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Földicseresznye</w:t>
            </w:r>
          </w:p>
        </w:tc>
        <w:tc>
          <w:tcPr>
            <w:tcW w:w="4675" w:type="dxa"/>
          </w:tcPr>
          <w:p w14:paraId="6052EBF3" w14:textId="77777777" w:rsidR="000147DB" w:rsidRPr="00B972B3" w:rsidRDefault="000147DB" w:rsidP="000147DB">
            <w:pPr>
              <w:rPr>
                <w:color w:val="FF0000"/>
                <w:spacing w:val="-4"/>
              </w:rPr>
            </w:pPr>
            <w:r>
              <w:rPr>
                <w:color w:val="FF0000"/>
              </w:rPr>
              <w:t>Burgonya</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Pitaja/Kaktuszgyümölcs</w:t>
            </w:r>
          </w:p>
        </w:tc>
        <w:tc>
          <w:tcPr>
            <w:tcW w:w="4675" w:type="dxa"/>
          </w:tcPr>
          <w:p w14:paraId="0C08F9BD" w14:textId="77777777" w:rsidR="000147DB" w:rsidRPr="00B972B3" w:rsidRDefault="000147DB" w:rsidP="000147DB">
            <w:pPr>
              <w:rPr>
                <w:color w:val="FF0000"/>
                <w:spacing w:val="-4"/>
              </w:rPr>
            </w:pPr>
            <w:r>
              <w:rPr>
                <w:color w:val="FF0000"/>
              </w:rPr>
              <w:t>Sütőtök</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Datolyaszilva/Khaki</w:t>
            </w:r>
          </w:p>
        </w:tc>
        <w:tc>
          <w:tcPr>
            <w:tcW w:w="4675" w:type="dxa"/>
          </w:tcPr>
          <w:p w14:paraId="764A6ACA" w14:textId="77777777" w:rsidR="000147DB" w:rsidRPr="00B972B3" w:rsidRDefault="000147DB" w:rsidP="000147DB">
            <w:pPr>
              <w:rPr>
                <w:color w:val="FF0000"/>
                <w:spacing w:val="-4"/>
              </w:rPr>
            </w:pPr>
            <w:r>
              <w:rPr>
                <w:color w:val="FF0000"/>
              </w:rPr>
              <w:t xml:space="preserve">Retek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Körte</w:t>
            </w:r>
          </w:p>
        </w:tc>
        <w:tc>
          <w:tcPr>
            <w:tcW w:w="4675" w:type="dxa"/>
          </w:tcPr>
          <w:p w14:paraId="64399CC8" w14:textId="77777777" w:rsidR="000147DB" w:rsidRPr="00B972B3" w:rsidRDefault="000147DB" w:rsidP="000147DB">
            <w:pPr>
              <w:rPr>
                <w:color w:val="FF0000"/>
                <w:spacing w:val="-4"/>
              </w:rPr>
            </w:pPr>
            <w:r>
              <w:rPr>
                <w:color w:val="FF0000"/>
              </w:rPr>
              <w:t xml:space="preserve">Rebarbara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Grépfrút</w:t>
            </w:r>
          </w:p>
        </w:tc>
        <w:tc>
          <w:tcPr>
            <w:tcW w:w="4675" w:type="dxa"/>
          </w:tcPr>
          <w:p w14:paraId="44F6263F" w14:textId="77777777" w:rsidR="000147DB" w:rsidRPr="00B972B3" w:rsidRDefault="000147DB" w:rsidP="000147DB">
            <w:pPr>
              <w:rPr>
                <w:color w:val="FF0000"/>
                <w:spacing w:val="-4"/>
              </w:rPr>
            </w:pPr>
            <w:r>
              <w:rPr>
                <w:color w:val="FF0000"/>
              </w:rPr>
              <w:t>Paradicsom</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Alma</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Szilva</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Szőlő</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5E4757"/>
    <w:rsid w:val="006432AD"/>
    <w:rsid w:val="00747C65"/>
    <w:rsid w:val="00B972B3"/>
    <w:rsid w:val="00C660B5"/>
    <w:rsid w:val="00C67B48"/>
    <w:rsid w:val="00E30D60"/>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6773</Words>
  <Characters>38611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2020-07-27T11:52:00Z</dcterms:created>
  <dcterms:modified xsi:type="dcterms:W3CDTF">2020-08-13T06:19:00Z</dcterms:modified>
</cp:coreProperties>
</file>