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AB6457" w:rsidRDefault="00FE5842" w:rsidP="00471E09">
      <w:pPr>
        <w:spacing w:after="0" w:line="240" w:lineRule="auto"/>
        <w:rPr>
          <w:rFonts w:ascii="Courier New" w:hAnsi="Courier New" w:cs="Courier New"/>
          <w:sz w:val="20"/>
          <w:szCs w:val="20"/>
        </w:rPr>
      </w:pPr>
      <w:bookmarkStart w:id="0" w:name="_Hlk46997595"/>
      <w:r w:rsidRPr="00AB6457">
        <w:rPr>
          <w:rFonts w:ascii="Courier New" w:hAnsi="Courier New"/>
          <w:sz w:val="20"/>
          <w:szCs w:val="20"/>
        </w:rPr>
        <w:t>1. ------IND- 2020 0485 L-- LV- ------ 20200812 --- --- PROJET</w:t>
      </w:r>
    </w:p>
    <w:bookmarkEnd w:id="0"/>
    <w:p w14:paraId="064DCE1A" w14:textId="2EE2449E" w:rsidR="000147DB" w:rsidRPr="00AB6457" w:rsidRDefault="000147DB" w:rsidP="002F5A31">
      <w:pPr>
        <w:keepNext/>
        <w:keepLines/>
        <w:spacing w:after="200" w:line="276" w:lineRule="auto"/>
        <w:jc w:val="center"/>
        <w:rPr>
          <w:rFonts w:ascii="Times New Roman" w:eastAsia="Times New Roman" w:hAnsi="Times New Roman" w:cs="Times New Roman"/>
          <w:b/>
          <w:sz w:val="24"/>
          <w:szCs w:val="24"/>
        </w:rPr>
      </w:pPr>
      <w:r w:rsidRPr="00AB6457">
        <w:rPr>
          <w:rFonts w:ascii="Times New Roman" w:hAnsi="Times New Roman"/>
          <w:b/>
          <w:sz w:val="24"/>
          <w:szCs w:val="24"/>
        </w:rPr>
        <w:t>2017. gada 21. marta Likums par iepakojumu un izlietoto iepakojumu</w:t>
      </w:r>
    </w:p>
    <w:p w14:paraId="71E8730A" w14:textId="77777777" w:rsidR="000147DB" w:rsidRPr="00AB6457" w:rsidRDefault="000147DB" w:rsidP="002F5A31">
      <w:pPr>
        <w:keepNext/>
        <w:keepLines/>
        <w:autoSpaceDE w:val="0"/>
        <w:autoSpaceDN w:val="0"/>
        <w:adjustRightInd w:val="0"/>
        <w:spacing w:after="120" w:line="276" w:lineRule="auto"/>
        <w:jc w:val="center"/>
        <w:rPr>
          <w:rFonts w:cs="Times New Roman"/>
          <w:b/>
          <w:sz w:val="24"/>
          <w:szCs w:val="24"/>
        </w:rPr>
      </w:pPr>
      <w:r w:rsidRPr="00AB6457">
        <w:rPr>
          <w:b/>
          <w:sz w:val="24"/>
          <w:szCs w:val="24"/>
        </w:rPr>
        <w:t>Saskaņotā redakcija</w:t>
      </w:r>
    </w:p>
    <w:p w14:paraId="7D923E4A" w14:textId="77777777" w:rsidR="000147DB" w:rsidRPr="00AB6457" w:rsidRDefault="000147DB" w:rsidP="002F5A31">
      <w:pPr>
        <w:keepNext/>
        <w:keepLines/>
        <w:autoSpaceDE w:val="0"/>
        <w:autoSpaceDN w:val="0"/>
        <w:adjustRightInd w:val="0"/>
        <w:spacing w:after="120" w:line="276" w:lineRule="auto"/>
        <w:jc w:val="center"/>
        <w:rPr>
          <w:rFonts w:cs="Times New Roman"/>
          <w:b/>
          <w:sz w:val="24"/>
          <w:szCs w:val="24"/>
        </w:rPr>
      </w:pPr>
    </w:p>
    <w:p w14:paraId="6E6CA03B" w14:textId="77777777" w:rsidR="000147DB" w:rsidRPr="00AB6457" w:rsidRDefault="000147DB" w:rsidP="002F5A31">
      <w:pPr>
        <w:keepNext/>
        <w:keepLines/>
        <w:spacing w:after="0" w:line="240" w:lineRule="auto"/>
        <w:jc w:val="both"/>
        <w:rPr>
          <w:rFonts w:eastAsia="Times New Roman" w:cs="Arial"/>
          <w:b/>
          <w:lang w:eastAsia="fr-FR"/>
        </w:rPr>
      </w:pPr>
    </w:p>
    <w:p w14:paraId="584BE14E" w14:textId="77777777" w:rsidR="000147DB" w:rsidRPr="00AB6457" w:rsidRDefault="000147DB" w:rsidP="002F5A31">
      <w:pPr>
        <w:keepNext/>
        <w:keepLines/>
        <w:spacing w:after="0" w:line="240" w:lineRule="auto"/>
        <w:jc w:val="both"/>
        <w:rPr>
          <w:rFonts w:eastAsia="Times New Roman" w:cs="Arial"/>
          <w:b/>
          <w:lang w:eastAsia="fr-FR"/>
        </w:rPr>
      </w:pPr>
    </w:p>
    <w:p w14:paraId="720F607F" w14:textId="77777777" w:rsidR="000147DB" w:rsidRPr="00AB6457" w:rsidRDefault="000147DB" w:rsidP="002F5A31">
      <w:pPr>
        <w:keepNext/>
        <w:keepLines/>
        <w:spacing w:after="0" w:line="240" w:lineRule="auto"/>
        <w:jc w:val="both"/>
        <w:rPr>
          <w:rFonts w:eastAsia="Times New Roman" w:cs="Arial"/>
          <w:b/>
          <w:color w:val="FF0000"/>
          <w:lang w:eastAsia="fr-FR"/>
        </w:rPr>
      </w:pPr>
    </w:p>
    <w:p w14:paraId="52F5EF4E" w14:textId="77777777" w:rsidR="000147DB" w:rsidRPr="00AB6457" w:rsidRDefault="000147DB" w:rsidP="002F5A31">
      <w:pPr>
        <w:keepNext/>
        <w:keepLines/>
        <w:spacing w:after="0" w:line="240" w:lineRule="auto"/>
        <w:jc w:val="both"/>
        <w:rPr>
          <w:rFonts w:eastAsia="Times New Roman" w:cs="Arial"/>
          <w:b/>
          <w:color w:val="FF0000"/>
          <w:lang w:eastAsia="fr-FR"/>
        </w:rPr>
      </w:pPr>
    </w:p>
    <w:p w14:paraId="3FEA7740" w14:textId="31B3FC85" w:rsidR="000147DB" w:rsidRPr="00AB6457" w:rsidRDefault="000147DB" w:rsidP="002F5A31">
      <w:pPr>
        <w:keepNext/>
        <w:keepLines/>
        <w:spacing w:beforeLines="100" w:before="240" w:after="240" w:line="240" w:lineRule="auto"/>
        <w:jc w:val="both"/>
        <w:rPr>
          <w:rFonts w:eastAsia="Calibri" w:cs="TimesLTStd-Roman"/>
          <w:color w:val="FF0000"/>
          <w:sz w:val="24"/>
          <w:szCs w:val="24"/>
        </w:rPr>
      </w:pPr>
      <w:r w:rsidRPr="00AB6457">
        <w:rPr>
          <w:color w:val="FF0000"/>
          <w:sz w:val="24"/>
          <w:szCs w:val="24"/>
          <w:u w:val="single"/>
        </w:rPr>
        <w:t>1. pants. Mērķi</w:t>
      </w:r>
    </w:p>
    <w:p w14:paraId="20EDAC04" w14:textId="77777777" w:rsidR="000147DB" w:rsidRPr="00AB6457" w:rsidRDefault="000147DB" w:rsidP="000147DB">
      <w:pPr>
        <w:spacing w:beforeLines="100" w:before="240" w:after="240" w:line="240" w:lineRule="auto"/>
        <w:jc w:val="both"/>
        <w:rPr>
          <w:rFonts w:eastAsia="Calibri" w:cs="TimesLTStd-Roman"/>
          <w:color w:val="FF0000"/>
          <w:sz w:val="24"/>
          <w:szCs w:val="24"/>
        </w:rPr>
      </w:pPr>
      <w:r w:rsidRPr="00AB6457">
        <w:rPr>
          <w:color w:val="FF0000"/>
          <w:sz w:val="24"/>
          <w:szCs w:val="24"/>
        </w:rPr>
        <w:t> Šis likums paredz pasākumus, kuru galvenā prioritāte ir novērst izlietotā iepakojuma rašanos, un citi tā pamatprincipi paredz iepakojuma atkalizmantošanu, tā sagatavošanu atkalizmantošanai, reciklēšanu un izlietotā iepakojuma cita veida reģenerāciju, tādējādi samazinot šo atkritumu galīgās iznīcināšanas apjomus, lai veicinātu pāreju uz aprites ekonomiku.</w:t>
      </w:r>
    </w:p>
    <w:p w14:paraId="58ECE028" w14:textId="77777777" w:rsidR="000147DB" w:rsidRPr="00AB6457" w:rsidRDefault="000147DB" w:rsidP="000147DB">
      <w:pPr>
        <w:spacing w:after="0" w:line="240" w:lineRule="auto"/>
        <w:jc w:val="both"/>
        <w:rPr>
          <w:rFonts w:eastAsia="Times New Roman" w:cs="Arial"/>
          <w:lang w:eastAsia="fr-FR"/>
        </w:rPr>
      </w:pPr>
    </w:p>
    <w:p w14:paraId="12603C0B" w14:textId="77777777" w:rsidR="000147DB" w:rsidRPr="00AB6457" w:rsidRDefault="000147DB" w:rsidP="002F5A31">
      <w:pPr>
        <w:keepNext/>
        <w:keepLines/>
        <w:spacing w:after="0" w:line="240" w:lineRule="auto"/>
        <w:jc w:val="both"/>
        <w:rPr>
          <w:rFonts w:eastAsia="Times New Roman" w:cs="Arial"/>
        </w:rPr>
      </w:pPr>
      <w:r w:rsidRPr="00AB6457">
        <w:rPr>
          <w:b/>
          <w:bCs/>
        </w:rPr>
        <w:t xml:space="preserve">2. pants. </w:t>
      </w:r>
      <w:r w:rsidRPr="00AB6457">
        <w:rPr>
          <w:b/>
          <w:bCs/>
          <w:iCs/>
        </w:rPr>
        <w:t>Piemērošanas joma</w:t>
      </w:r>
    </w:p>
    <w:p w14:paraId="10EC3FDA" w14:textId="77777777" w:rsidR="000147DB" w:rsidRPr="00AB6457" w:rsidRDefault="000147DB" w:rsidP="000147DB">
      <w:pPr>
        <w:spacing w:after="0" w:line="240" w:lineRule="auto"/>
        <w:jc w:val="both"/>
        <w:rPr>
          <w:rFonts w:eastAsia="Times New Roman" w:cs="Arial"/>
        </w:rPr>
      </w:pPr>
      <w:r w:rsidRPr="00AB6457">
        <w:t>Šis likums attiecas uz visiem iepakojumiem, ko laiž Luksemburgas tirgū, un uz visiem izlietotajiem iepakojumiem, neatkarīgi no tā, vai tos izmanto vai izmet rūpniecības nozares, uzņēmumi, biroji, darbnīcas, pakalpojumu sniedzēji, mājsaimniecības vai jebkurā citā līmenī, neatkarīgi no materiāliem, no kuriem tie ir izgatavoti.</w:t>
      </w:r>
    </w:p>
    <w:p w14:paraId="525A371B" w14:textId="77777777" w:rsidR="000147DB" w:rsidRPr="00AB6457" w:rsidRDefault="000147DB" w:rsidP="000147DB">
      <w:pPr>
        <w:spacing w:after="0" w:line="240" w:lineRule="auto"/>
        <w:jc w:val="both"/>
        <w:rPr>
          <w:rFonts w:eastAsia="Times New Roman" w:cs="Arial"/>
          <w:lang w:eastAsia="fr-FR"/>
        </w:rPr>
      </w:pPr>
    </w:p>
    <w:p w14:paraId="6A00E764" w14:textId="77777777" w:rsidR="000147DB" w:rsidRPr="00AB6457" w:rsidRDefault="000147DB" w:rsidP="000147DB">
      <w:pPr>
        <w:spacing w:after="0" w:line="240" w:lineRule="auto"/>
        <w:jc w:val="center"/>
        <w:rPr>
          <w:rFonts w:eastAsia="Calibri" w:cs="Arial"/>
          <w:color w:val="FF0000"/>
        </w:rPr>
      </w:pPr>
    </w:p>
    <w:p w14:paraId="3FB9C656" w14:textId="3BDDB8AC" w:rsidR="000147DB" w:rsidRPr="00AB6457"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sidRPr="00AB6457">
        <w:rPr>
          <w:color w:val="FF0000"/>
          <w:sz w:val="24"/>
          <w:szCs w:val="24"/>
          <w:u w:val="single"/>
        </w:rPr>
        <w:t>3. pants. Definīcijas</w:t>
      </w:r>
    </w:p>
    <w:p w14:paraId="54FAB75E" w14:textId="77777777" w:rsidR="000147DB" w:rsidRPr="00AB6457" w:rsidRDefault="000147DB" w:rsidP="002F5A31">
      <w:pPr>
        <w:keepNext/>
        <w:keepLines/>
        <w:autoSpaceDE w:val="0"/>
        <w:autoSpaceDN w:val="0"/>
        <w:adjustRightInd w:val="0"/>
        <w:spacing w:after="0" w:line="240" w:lineRule="auto"/>
        <w:jc w:val="both"/>
        <w:rPr>
          <w:rFonts w:eastAsia="Calibri" w:cs="TimesLTStd-Roman"/>
          <w:color w:val="FF0000"/>
          <w:sz w:val="24"/>
          <w:szCs w:val="24"/>
        </w:rPr>
      </w:pPr>
    </w:p>
    <w:p w14:paraId="31598118" w14:textId="77777777" w:rsidR="000147DB" w:rsidRPr="00AB6457"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Šajā likumā:</w:t>
      </w:r>
    </w:p>
    <w:p w14:paraId="51BA376E"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 “ekonomikas dalībnieki” iepakojuma jomā ir iepakojuma materiālu piegādātāji, ražotāji, pārstrādātāji, uzpildītāji un lietotāji, importētāji, tirgotāji un izplatītāji, valsts iestādes un valsts struktūras;</w:t>
      </w:r>
    </w:p>
    <w:p w14:paraId="6FED5C43"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 “vides nolīgums” ir jebkurš oficiāls nolīgums starp ministru, kas atbildīgs par vidi (turpmāk — “ministrs”), un tiem, kuri atbild par iepakojumu, vai apstiprinātām organizācijām, un tam jābūt atvērtam visiem ekonomikas dalībniekiem, kuri vēlas ievērot nolīgumā paredzētos nosacījumus, lai palīdzētu sasniegt 1. pantā minētos mērķus;</w:t>
      </w:r>
    </w:p>
    <w:p w14:paraId="7FF9665B"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3. “iesaiņošana” ir pārtikas produkta ievietošana iesaiņojamā materiālā vai traukā, kas ir tiešā saskarē ar attiecīgo produktu; šis iesaiņojamais materiāls vai trauks;</w:t>
      </w:r>
    </w:p>
    <w:p w14:paraId="1DD8A02E"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4. “izlietotais iepakojums” ir jebkurš iepakojums vai iepakojuma materiāls, uz kuru attiecas atkritumu definīcija grozītā 2012. gada 21. marta Likuma par atkritumiem un resursiem (turpmāk — “2012. gada 21. marta likums”) 4. pantā, izņemot ražošanas atlikumus;</w:t>
      </w:r>
    </w:p>
    <w:p w14:paraId="1A85C693" w14:textId="77777777" w:rsidR="000147DB" w:rsidRPr="00AB6457" w:rsidRDefault="000147DB" w:rsidP="000147DB">
      <w:pPr>
        <w:autoSpaceDE w:val="0"/>
        <w:autoSpaceDN w:val="0"/>
        <w:adjustRightInd w:val="0"/>
        <w:spacing w:after="0" w:line="240" w:lineRule="auto"/>
        <w:jc w:val="both"/>
        <w:rPr>
          <w:rFonts w:cs="TimesLTStd-Roman"/>
          <w:b/>
          <w:color w:val="FF0000"/>
          <w:sz w:val="24"/>
          <w:szCs w:val="24"/>
        </w:rPr>
      </w:pPr>
      <w:r w:rsidRPr="00AB6457">
        <w:rPr>
          <w:color w:val="FF0000"/>
          <w:sz w:val="24"/>
          <w:szCs w:val="24"/>
        </w:rPr>
        <w:t>5. “mājsaimniecību izlietotais iepakojums” ir izlietotais iepakojums, kas ir mājsaimniecībās radīti sadzīves atkritumi 2012. gada 21. marta likuma nozīmē;</w:t>
      </w:r>
    </w:p>
    <w:p w14:paraId="191FC248"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6. “ne-mājsaimniecību izlietotais iepakojums” ir izlietotais iepakojums, kas ir tādi sadzīves atkritumi 2012. gada 21. marta likuma nozīmē, kuri nav radīti mājsaimniecībās;</w:t>
      </w:r>
    </w:p>
    <w:p w14:paraId="726D0591"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lastRenderedPageBreak/>
        <w:t>7. “iepakojums” ir jebkurš produkts, kas izgatavots no jebkāda veida materiāliem un paredzēts, lai saturētu un aizsargātu konkrētās preces, sākot no izejvielām un beidzot ar galaproduktiem, lai ar tām varētu rīkoties un tās varētu pārvadāt no ražotāja līdz patērētājam vai lietotājam, kā arī nodrošināt to noformēšanu.</w:t>
      </w:r>
    </w:p>
    <w:p w14:paraId="5B7B7B78"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p>
    <w:p w14:paraId="2B3C84BC"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Visas vienreizlietojamās preces, ko izmanto tiem pašiem mērķiem, jāuzskata par iepakojumu.</w:t>
      </w:r>
    </w:p>
    <w:p w14:paraId="4BBCE77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p>
    <w:p w14:paraId="29092297" w14:textId="77777777" w:rsidR="000147DB" w:rsidRPr="00AB6457"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Iepakojums sastāv tikai no:</w:t>
      </w:r>
    </w:p>
    <w:p w14:paraId="5E80CA94"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a) tirdzniecības iepakojuma jeb primārā iepakojuma, t. i., iepakojuma, kas izstrādāts tā, lai tirdzniecības vietā veidotu galalietotājam vai patērētājam pārdodamo vienību;</w:t>
      </w:r>
    </w:p>
    <w:p w14:paraId="0DE873CC"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b) komplektēšanas iepakojuma jeb sekundārā iepakojuma, t. i., iepakojuma, kas izstrādāts tā, lai tirdzniecības vietā veidotu noteikta skaita pārdodamo vienību komplektu, neatkarīgi no tā, vai to tirgo galalietotājam vai patērētājam, vai arī tas tiek izmantots tikai vitrīnu rotāšanai tirdzniecības vietā; to var noņemt no produkta, neizmainot tā īpašības;</w:t>
      </w:r>
    </w:p>
    <w:p w14:paraId="29AF1F65"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c) transporta iepakojuma jeb terciārā iepakojuma, t. i., iepakojuma, kas izstrādāts tā, lai atvieglotu noteikta skaita pārdodamo vienību vai iepakojumu komplektu pārvietošanu un pārvadāšanu, nepieļaujot to fizisku aizskaršanu un pārvadāšanas laikā radītus bojājumus. Transporta iepakojumā neietilpst autotransporta, dzelzceļa, jūras un gaisa transporta konteineri.</w:t>
      </w:r>
    </w:p>
    <w:p w14:paraId="3E5427B4"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p>
    <w:p w14:paraId="3D83FF34" w14:textId="77777777" w:rsidR="000147DB" w:rsidRPr="00AB6457"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Definējot jēdzienu “iepakojums”, jāņem vērā arī šādi kritēriji:</w:t>
      </w:r>
    </w:p>
    <w:p w14:paraId="0BE24D6D"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i) izstrādājumu uzskata par iepakojumu, ja tas atbilst iepriekš minētajai definīcijai, neskarot citas funkcijas, kas varētu būt arī iepakojumam, ja vien šis izstrādājums nav produkta neatņemama sastāvdaļa un nav nepieciešams minētā produkta saturēšanai, atbalstīšanai vai saglabāšanai visā tā aprites ciklā un ja visi attiecīgie elementi nav paredzēti kopīgai lietošanai, patērēšanai vai iznīcināšanai;</w:t>
      </w:r>
    </w:p>
    <w:p w14:paraId="03C118C8"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ii) izstrādājumi, kas paredzēti uzpildīšanai tirdzniecības vietā, un vienreizlietojamie izstrādājumi, kas tiek pārdoti, uzpildīti vai paredzēti uzpildīšanai tirdzniecības vietā, ir uzskatāmi par iepakojumu, ciktāl tiem ir iepakojuma funkcijas un tie darbojas kā palīgiepakojums;</w:t>
      </w:r>
    </w:p>
    <w:p w14:paraId="21E05D64" w14:textId="77777777" w:rsidR="000147DB" w:rsidRPr="00AB6457" w:rsidRDefault="000147DB" w:rsidP="000147DB">
      <w:pPr>
        <w:autoSpaceDE w:val="0"/>
        <w:autoSpaceDN w:val="0"/>
        <w:adjustRightInd w:val="0"/>
        <w:spacing w:after="0" w:line="240" w:lineRule="auto"/>
        <w:ind w:left="720"/>
        <w:jc w:val="both"/>
        <w:rPr>
          <w:rFonts w:eastAsia="Calibri" w:cs="TimesLTStd-Roman"/>
          <w:color w:val="FF0000"/>
          <w:sz w:val="24"/>
          <w:szCs w:val="24"/>
        </w:rPr>
      </w:pPr>
      <w:r w:rsidRPr="00AB6457">
        <w:rPr>
          <w:color w:val="FF0000"/>
          <w:sz w:val="24"/>
          <w:szCs w:val="24"/>
        </w:rPr>
        <w:t>iii) iepakojuma sastāvdaļas un palīgelementus, kas integrēti iepakojumā, uzskata par tā iepakojuma daļām, kurā tie ir integrēti. Palīgelementus, kuri ir tieši pievienoti produktam vai ir piestiprināti tam un kuriem ir iepakojuma funkcijas, uzskata par iepakojumu, ja vien tie nav šā produkta neatņemama sastāvdaļa un visi elementi nav paredzēti kopīgam patēriņam vai iznīcināšanai.</w:t>
      </w:r>
    </w:p>
    <w:p w14:paraId="376B89A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p>
    <w:p w14:paraId="338D0B69"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Izstrādājumi, kas uzskaitīti I pielikumā 1994. gada 20. decembra Eiropas Parlamenta un Padomes Direktīvai 94/62/EK par iepakojumu un izlietoto iepakojumu, kurā grozījumi izdarīti ar Eiropas Komisijas deleģētajiem aktiem, kas pieņemti saskaņā ar minētās direktīvas 19. panta 2. punktu un 21.a pantu, ir piemēri, kas ilustrē šo kritēriju piemērošanu;</w:t>
      </w:r>
    </w:p>
    <w:p w14:paraId="44FB8E04"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8. “atkārtoti lietojams iepakojums” ir iepakojums, kas izstrādāts, izveidots un laists tirgū tā, lai aprites cikla laikā to varētu izmantot vairākas reizes, veicot rotāciju, atkārtoti uzpildot vai atkārtoti izmantojot tam pašam lietošanas veidam, kuram tas bija izstrādāts;</w:t>
      </w:r>
    </w:p>
    <w:p w14:paraId="01840540"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lastRenderedPageBreak/>
        <w:t>9. “kompozītiepakojums” ir iepakojums, kas sastāv no diviem vai vairākiem dažādu materiālu slāņiem, kurus nevar atdalīt manuāli un kuri veido vienu vienību, kas sastāv no iekšējā ietvara un ārējā apvalka, kuru uzpilda, uzglabā, pārvadā un iztukšo kā tādu;</w:t>
      </w:r>
    </w:p>
    <w:p w14:paraId="40CA1AE7" w14:textId="77777777" w:rsidR="000147DB" w:rsidRPr="00832CA7" w:rsidRDefault="000147DB" w:rsidP="000147DB">
      <w:pPr>
        <w:autoSpaceDE w:val="0"/>
        <w:autoSpaceDN w:val="0"/>
        <w:adjustRightInd w:val="0"/>
        <w:spacing w:after="0" w:line="240" w:lineRule="auto"/>
        <w:jc w:val="both"/>
        <w:rPr>
          <w:rFonts w:cs="TimesNewRoman"/>
          <w:color w:val="FF0000"/>
          <w:spacing w:val="-4"/>
          <w:sz w:val="24"/>
          <w:szCs w:val="24"/>
        </w:rPr>
      </w:pPr>
      <w:r w:rsidRPr="00832CA7">
        <w:rPr>
          <w:color w:val="FF0000"/>
          <w:spacing w:val="-4"/>
          <w:sz w:val="24"/>
          <w:szCs w:val="24"/>
        </w:rPr>
        <w:t>10. “centralizēta apsaimniekošana” ir sistēma, ko nodrošina apstiprināta struktūra, kura uzņēmusies atbildību par izlietoto iepakojumu, sākot no brīvprātīgās savākšanas vietas, lai veiktu reciklēšanu;</w:t>
      </w:r>
    </w:p>
    <w:p w14:paraId="2476E1AB"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11. “izlietotā iepakojuma apsaimniekošana” ir atkritumu apsaimniekošana, kā noteikts 2012. gada 21. marta likuma 4. pantā;</w:t>
      </w:r>
    </w:p>
    <w:p w14:paraId="7FBC2293"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12. “iepakojuma materiāls” ir jebkurš vienkāršs vai salikts dabiskas vai mākslīgas izcelsmes materiāls, kas veido iepakojumu;</w:t>
      </w:r>
    </w:p>
    <w:p w14:paraId="6F877037"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 xml:space="preserve">13. “piedāvāšana tirgū” ir produkta, kas paredzēts izplatīšanai, patēriņam vai izmantošanai Luksemburgas tirgū, veicot komercdarbību, piegādāšana par maksu vai bez maksas; </w:t>
      </w:r>
    </w:p>
    <w:p w14:paraId="39E8CFE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14. “laišana tirgū” ir produkta pirmreizēja nodrošināšana Luksemburgas tirgū;</w:t>
      </w:r>
    </w:p>
    <w:p w14:paraId="337D0712"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 xml:space="preserve">15. “apstiprināta struktūra” ir juridiska persona, kas apstiprināta saskaņā ar 2012. gada 21. marta likumu un uzņemas ražotāju paplašinātās atbildības pienākumus; </w:t>
      </w:r>
    </w:p>
    <w:p w14:paraId="3063727E" w14:textId="5A2948D3" w:rsidR="000147DB" w:rsidRPr="00832CA7"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832CA7">
        <w:rPr>
          <w:color w:val="FF0000"/>
          <w:spacing w:val="-4"/>
          <w:sz w:val="24"/>
          <w:szCs w:val="24"/>
        </w:rPr>
        <w:t>16. “plastmasa” ir polimērs Eiropas Parlamenta un Padomes Regulas (EK) Nr. 1907/2006 (2006. gada 18. decembris), kas attiecas uz ķimikāliju reģistrēšanu, vērtēšanu, licencēšanu un ierobežošanu (</w:t>
      </w:r>
      <w:r w:rsidRPr="00832CA7">
        <w:rPr>
          <w:i/>
          <w:iCs/>
          <w:color w:val="FF0000"/>
          <w:spacing w:val="-4"/>
          <w:sz w:val="24"/>
          <w:szCs w:val="24"/>
        </w:rPr>
        <w:t>REACH</w:t>
      </w:r>
      <w:r w:rsidRPr="00832CA7">
        <w:rPr>
          <w:color w:val="FF0000"/>
          <w:spacing w:val="-4"/>
          <w:sz w:val="24"/>
          <w:szCs w:val="24"/>
        </w:rPr>
        <w:t>), un ar kuru izveido Eiropas Ķimikāliju aģentūru, groza Direktīvu 1999/45/EK un atceļ Padomes Regulu (EEK) Nr. 793/93 un Komisijas Regulu (EK) Nr. 1488/94, kā arī Padomes Direktīvu 76/769/EEK un Komisijas Direktīvu 91/155/EEK, Direktīvu 93/67/EEK, Direktīvu 93/105/EK un Direktīvu 2000/21/EK, 3. panta 5. punkta nozīmē, kam var būt pievienotas piedevas vai citas vielas un kas var būt maisiņu galvenā strukturālā sastāvdaļa;</w:t>
      </w:r>
    </w:p>
    <w:p w14:paraId="722C1B32"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17. “organiskā reciklēšana” ir izlietotā iepakojuma bioloģiski noārdāmo daļu aerobā (kompostēšanas) vai anaerobā (biometanizācijas) apstrāde ar mikroorganismiem un kontrolētos apstākļos, rodoties stabilizētiem organiskajiem piemaisījumiem vai metānam. Apglabāšanu atkritumu poligonā nevar uzskatīt par organiskās reciklēšanas veidu;</w:t>
      </w:r>
    </w:p>
    <w:p w14:paraId="211C3BAF" w14:textId="77777777" w:rsidR="000147DB" w:rsidRPr="00AB6457" w:rsidRDefault="000147DB" w:rsidP="000147DB">
      <w:pPr>
        <w:autoSpaceDE w:val="0"/>
        <w:autoSpaceDN w:val="0"/>
        <w:adjustRightInd w:val="0"/>
        <w:spacing w:after="0"/>
        <w:jc w:val="both"/>
        <w:rPr>
          <w:rFonts w:eastAsia="Calibri" w:cs="TimesLTStd-Roman"/>
          <w:color w:val="FF0000"/>
          <w:sz w:val="24"/>
          <w:szCs w:val="24"/>
        </w:rPr>
      </w:pPr>
      <w:r w:rsidRPr="00AB6457">
        <w:rPr>
          <w:color w:val="FF0000"/>
          <w:sz w:val="24"/>
          <w:szCs w:val="24"/>
        </w:rPr>
        <w:t>18. “iepakojuma apsaimniekotājs” ir jebkura fiziska vai juridiska persona, kas reģistrēta vai nav reģistrēta Luksemburgas Lielhercogistē un kas savas profesionālās darbības ietvaros laiž Luksemburgas tirgū iepakotus produktus, neatkarīgi no izmantotā tirdzniecības veida, tostarp slēdzot attālinātus līgumus, kā noteikts Patērētāju kodeksa L.222-1. pantā.</w:t>
      </w:r>
    </w:p>
    <w:p w14:paraId="532A7F6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Attiecībā uz palīgiepakojumu par iepakojuma apsaimniekotāju tiek uzskatīta jebkura persona, kas savas profesionālās darbības ietvaros un laišanai Luksemburgas tirgū ražo vai importē palīgiepakojumu;</w:t>
      </w:r>
    </w:p>
    <w:p w14:paraId="2066F35B"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19. “plastmasas maisiņi” ir no plastmasas izgatavoti maisiņi ar rokturiem vai bez tiem, ko patērētājiem nodrošina preču vai produktu tirdzniecības vietās;</w:t>
      </w:r>
    </w:p>
    <w:p w14:paraId="2892A87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20. “plānie plastmasas maisiņi” ir plastmasas maisiņi, kuru biezums ir mazāks par 50 mikroniem;</w:t>
      </w:r>
    </w:p>
    <w:p w14:paraId="1D560F90"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21. “īpaši plānie plastmasas maisiņi” ir plastmasas maisiņi, kuru biezums ir mazāks par 15 mikroniem,</w:t>
      </w:r>
    </w:p>
    <w:p w14:paraId="099FC67B"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tie ir nepieciešami higiēnas nolūkos vai arī tiek nodrošināti kā pamatiepakojums nefasētiem pārtikas produktiem, ja tas palīdz novērst pārtikas izšķērdēšanu;</w:t>
      </w:r>
    </w:p>
    <w:p w14:paraId="518E14E1"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22. “oksidācijas procesā noārdāmie plastmasas maisiņi” ir plastmasas maisiņi, kas sastāv no plastmasas un satur piedevas, kuras katalizē plastmasas sadalīšanos mikrodaļiņās;</w:t>
      </w:r>
    </w:p>
    <w:p w14:paraId="3F38912D" w14:textId="7CDBAB0E"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23. “depozīta sistēma” ir atpakaļnodošanas sistēma, saskaņā ar kuru pircējs samaksā naudas summu, kas viņam tiek atgriezta, nododot atpakaļ izmantoto iepakojumu;</w:t>
      </w:r>
    </w:p>
    <w:p w14:paraId="7826512C"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lastRenderedPageBreak/>
        <w:t>24. “tirgus daļas rādītājs” ir šķidru pārtikas produktu iepakojuma procentuālā daļa noteiktā laikposmā, kuras skaitītājā ir tirgū laistais šķidro pārtikas produktu daudzums, kas iepakots atkārtoti izmantojamā iepakojumā un patērēts valsts teritorijā, un saucējā — šķidro pārtikas produktu kopējais daudzums, kas laists tirgū un patērēts valsts teritorijā;</w:t>
      </w:r>
    </w:p>
    <w:p w14:paraId="7104FF6A"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25. “reciklēšanas rādītājs” ir izlietotā iepakojuma procentuālā daļa noteiktā laikposmā, kuras skaitītājā ir faktiski reciklētā izlietotā iepakojuma svars un saucējā — kopējais reģenerējamā iepakojuma svars, ko Luksemburgas tirgū laidis iepakojuma apsaimniekotājs un kas patērēts valsts teritorijā.</w:t>
      </w:r>
    </w:p>
    <w:p w14:paraId="67C77E37"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Minētā definīcija neattiecas uz iepakojumu, ko šā likuma nozīmē izmanto atkārtoti;</w:t>
      </w:r>
    </w:p>
    <w:p w14:paraId="6B41F5CB"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26. “reģenerācijas rādītājs” ir izlietotā iepakojuma procentuālā daļa noteiktā laikposmā, kuras skaitītājā ir faktiski reģenerētā izlietotā iepakojuma svars un saucējā — kopējais reģenerējamā iepakojuma svars, ko Luksemburgas tirgū laidis iepakojuma apsaimniekotājs un kas patērēts valsts teritorijā.</w:t>
      </w:r>
    </w:p>
    <w:p w14:paraId="5C7F6993"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Minētā definīcija neattiecas uz iepakojumu, ko šā likuma nozīmē izmanto atkārtoti;</w:t>
      </w:r>
    </w:p>
    <w:p w14:paraId="1F021DEC" w14:textId="77777777" w:rsidR="000147DB" w:rsidRPr="00832CA7"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832CA7">
        <w:rPr>
          <w:color w:val="FF0000"/>
          <w:spacing w:val="-4"/>
          <w:sz w:val="24"/>
          <w:szCs w:val="24"/>
        </w:rPr>
        <w:t>27. “enerģētiskā reģenerācija” ir degoša izlietotā iepakojuma izmantošana enerģijas ražošanai, veicot tiešu incinerāciju kopā ar citiem atkritumiem vai bez tiem, bet nodrošinot siltuma atgūšanu.</w:t>
      </w:r>
    </w:p>
    <w:p w14:paraId="2F42A154" w14:textId="77777777" w:rsidR="000147DB" w:rsidRPr="00AB6457" w:rsidRDefault="000147DB" w:rsidP="000147DB">
      <w:pPr>
        <w:autoSpaceDE w:val="0"/>
        <w:autoSpaceDN w:val="0"/>
        <w:adjustRightInd w:val="0"/>
        <w:spacing w:after="0" w:line="240" w:lineRule="auto"/>
        <w:jc w:val="both"/>
        <w:rPr>
          <w:rFonts w:eastAsia="Calibri" w:cs="TimesLTStd-Roman"/>
          <w:color w:val="FF0000"/>
          <w:sz w:val="24"/>
          <w:szCs w:val="24"/>
        </w:rPr>
      </w:pPr>
      <w:r w:rsidRPr="00AB6457">
        <w:rPr>
          <w:color w:val="FF0000"/>
          <w:sz w:val="24"/>
          <w:szCs w:val="24"/>
        </w:rPr>
        <w:t>Minētā definīcija neattiecas uz iepakojumu, ko šā likuma nozīmē izmanto atkārtoti.</w:t>
      </w:r>
    </w:p>
    <w:p w14:paraId="2A33EF01"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Piemēro tādu jēdzienu definīcijas kā “atkritumi”, “sadzīves atkritumi”, “mājsaimniecību sadzīves atkritumi”, "ne-mājsaimniecību sadzīves atkritumi”, “atkritumu apsaimniekošana”, “savākšana”, “šķirotu atkritumu savākšana”, “novēršana”, “atkalizmantošana”, “sagatavošana atkārtotai izmantošanai”, “apstrāde”, “reģenerācija”, “reciklēšana”, “paaugstinātas kvalitātes reciklēšana”, “iznīcināšana”, “resursu centrs” un “ražotāju paplašinātas atbildības režīms”, kas noteiktas 2012. gada 21. marta likuma 4. pantā.</w:t>
      </w:r>
    </w:p>
    <w:p w14:paraId="2564CAE3" w14:textId="77777777" w:rsidR="000147DB" w:rsidRPr="00AB6457" w:rsidRDefault="000147DB" w:rsidP="000147DB">
      <w:pPr>
        <w:spacing w:after="0" w:line="240" w:lineRule="auto"/>
        <w:jc w:val="both"/>
        <w:rPr>
          <w:rFonts w:eastAsia="Times New Roman" w:cs="Arial"/>
          <w:lang w:eastAsia="fr-FR"/>
        </w:rPr>
      </w:pPr>
    </w:p>
    <w:p w14:paraId="26C831EB" w14:textId="77777777" w:rsidR="000147DB" w:rsidRPr="00AB6457" w:rsidRDefault="000147DB" w:rsidP="000147DB">
      <w:pPr>
        <w:spacing w:after="0" w:line="240" w:lineRule="auto"/>
        <w:jc w:val="both"/>
        <w:rPr>
          <w:rFonts w:eastAsia="Times New Roman" w:cs="Arial"/>
          <w:lang w:eastAsia="fr-FR"/>
        </w:rPr>
      </w:pPr>
    </w:p>
    <w:p w14:paraId="692FDAD6" w14:textId="77777777" w:rsidR="000147DB" w:rsidRPr="00AB6457" w:rsidRDefault="000147DB" w:rsidP="002F5A31">
      <w:pPr>
        <w:keepNext/>
        <w:keepLines/>
        <w:spacing w:after="0" w:line="240" w:lineRule="auto"/>
        <w:jc w:val="both"/>
        <w:rPr>
          <w:rFonts w:eastAsia="Times New Roman" w:cs="Arial"/>
          <w:b/>
          <w:iCs/>
        </w:rPr>
      </w:pPr>
      <w:r w:rsidRPr="00AB6457">
        <w:rPr>
          <w:b/>
          <w:iCs/>
        </w:rPr>
        <w:t>4. pants. Novēršana, atkārtota izmantošana un vides nolīgumi</w:t>
      </w:r>
    </w:p>
    <w:p w14:paraId="6BEB351B" w14:textId="77777777" w:rsidR="000147DB" w:rsidRPr="00AB6457" w:rsidRDefault="000147DB" w:rsidP="002F5A31">
      <w:pPr>
        <w:keepNext/>
        <w:keepLines/>
        <w:spacing w:after="0" w:line="240" w:lineRule="auto"/>
        <w:jc w:val="both"/>
        <w:rPr>
          <w:rFonts w:eastAsia="Times New Roman" w:cs="Arial"/>
          <w:b/>
          <w:iCs/>
          <w:lang w:eastAsia="fr-FR"/>
        </w:rPr>
      </w:pPr>
    </w:p>
    <w:p w14:paraId="39614631" w14:textId="77777777" w:rsidR="000147DB" w:rsidRPr="00AB6457" w:rsidRDefault="000147DB" w:rsidP="002F5A31">
      <w:pPr>
        <w:keepNext/>
        <w:keepLines/>
        <w:spacing w:after="0" w:line="240" w:lineRule="auto"/>
        <w:jc w:val="both"/>
        <w:rPr>
          <w:rFonts w:eastAsia="Times New Roman" w:cs="Arial"/>
          <w:color w:val="FF0000"/>
          <w:lang w:eastAsia="fr-FR"/>
        </w:rPr>
      </w:pPr>
    </w:p>
    <w:p w14:paraId="63CEA987"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Papildus pasākumiem, kas paredzēti izlietotā iepakojuma rašanās novēršanai, pieņemti saskaņā ar 9. pantu un neskarot 2. punktu, ministrs var noslēgt vides nolīgumus, kas atbilst 1. pantā minētajiem mērķiem un kuru pamatuzdevums ir samazināt iepakojuma ietekmi uz vidi un aizkavēt izlietotā iepakojuma rašanos. Šajos nolīgumos var paredzēt sabiedrības informēšanas un izpratnes veidošanas kampaņas.</w:t>
      </w:r>
    </w:p>
    <w:p w14:paraId="0A4A972F" w14:textId="77777777" w:rsidR="000147DB" w:rsidRPr="00AB6457" w:rsidRDefault="000147DB" w:rsidP="000147DB">
      <w:pPr>
        <w:spacing w:after="0" w:line="240" w:lineRule="auto"/>
        <w:jc w:val="both"/>
        <w:rPr>
          <w:rFonts w:eastAsia="Times New Roman" w:cs="Arial"/>
          <w:color w:val="FF0000"/>
          <w:lang w:eastAsia="fr-FR"/>
        </w:rPr>
      </w:pPr>
    </w:p>
    <w:p w14:paraId="6A969234" w14:textId="77777777" w:rsidR="000147DB" w:rsidRPr="00AB6457" w:rsidRDefault="000147DB" w:rsidP="000147DB">
      <w:pPr>
        <w:spacing w:after="0" w:line="240" w:lineRule="auto"/>
        <w:jc w:val="both"/>
        <w:rPr>
          <w:rFonts w:eastAsia="Times New Roman" w:cs="Arial"/>
          <w:lang w:eastAsia="fr-FR"/>
        </w:rPr>
      </w:pPr>
    </w:p>
    <w:p w14:paraId="2D73D492" w14:textId="77777777" w:rsidR="000147DB" w:rsidRPr="00AB6457" w:rsidRDefault="000147DB" w:rsidP="000147DB">
      <w:pPr>
        <w:spacing w:after="0" w:line="240" w:lineRule="auto"/>
        <w:jc w:val="both"/>
        <w:rPr>
          <w:rFonts w:eastAsia="Times New Roman" w:cs="Arial"/>
        </w:rPr>
      </w:pPr>
      <w:r w:rsidRPr="00AB6457">
        <w:t>Attiecībā uz iepakojuma un citu produktu ražošanu vides nolīgumi var veicināt tādu materiālu lietošanu, kas iegūti no reciklēta izlietotā iepakojuma, uzlabojot šo materiālu stāvokli tirgū.</w:t>
      </w:r>
    </w:p>
    <w:p w14:paraId="4FAEAC4C" w14:textId="77777777" w:rsidR="000147DB" w:rsidRPr="00AB6457" w:rsidRDefault="000147DB" w:rsidP="000147DB">
      <w:pPr>
        <w:spacing w:after="0" w:line="240" w:lineRule="auto"/>
        <w:jc w:val="both"/>
        <w:rPr>
          <w:rFonts w:eastAsia="Times New Roman" w:cs="Arial"/>
        </w:rPr>
      </w:pPr>
      <w:r w:rsidRPr="00AB6457">
        <w:t>Attiecībā uz šķidro pārtikas produktu un citu produktu iepakojumu vides nolīgumi var paredzēt nosacījumus un kārtību, kā veicināt atkārtoti lietojama iepakojuma ražošanu un laišanu tirgū, un izvirzīt mērķus, kas saistīti ar tirgus daļas rādītājiem. Šis likums neskar tādu režīmu saglabāšanu vai izveidi, kas nodrošina iepakojuma atkārtotu izmantošanu, ieviešot depozīta sistēmu vai citā piemērotā veidā un saskaņā ar 1. pantā minētajiem mērķiem.</w:t>
      </w:r>
    </w:p>
    <w:p w14:paraId="7B14AF7B" w14:textId="77777777" w:rsidR="000147DB" w:rsidRPr="00832CA7" w:rsidRDefault="000147DB" w:rsidP="000147DB">
      <w:pPr>
        <w:spacing w:after="0" w:line="240" w:lineRule="auto"/>
        <w:jc w:val="both"/>
        <w:rPr>
          <w:rFonts w:eastAsia="Times New Roman" w:cs="Arial"/>
          <w:spacing w:val="-4"/>
        </w:rPr>
      </w:pPr>
      <w:r w:rsidRPr="00832CA7">
        <w:rPr>
          <w:spacing w:val="-4"/>
        </w:rPr>
        <w:lastRenderedPageBreak/>
        <w:t>(2) Citus novēršanas pasākumus, tostarp pētījumus un izmēģinājuma projektus, var noteikt valsts atkritumu apsaimniekošanas plānā un attiecīgā gadījumā — īpašā plānā saskaņā ar 2012. gada 21. marta likumu.</w:t>
      </w:r>
    </w:p>
    <w:p w14:paraId="639CF3A6" w14:textId="77777777" w:rsidR="000147DB" w:rsidRPr="00AB6457" w:rsidRDefault="000147DB" w:rsidP="000147DB">
      <w:pPr>
        <w:spacing w:after="0" w:line="240" w:lineRule="auto"/>
        <w:jc w:val="both"/>
        <w:rPr>
          <w:rFonts w:eastAsia="Times New Roman" w:cs="Arial"/>
          <w:lang w:eastAsia="fr-FR"/>
        </w:rPr>
      </w:pPr>
    </w:p>
    <w:p w14:paraId="173C0BC9" w14:textId="77777777" w:rsidR="000147DB" w:rsidRPr="00AB6457" w:rsidRDefault="000147DB" w:rsidP="000147DB">
      <w:pPr>
        <w:spacing w:after="0" w:line="240" w:lineRule="auto"/>
        <w:jc w:val="both"/>
        <w:rPr>
          <w:rFonts w:eastAsia="Times New Roman" w:cs="Arial"/>
          <w:lang w:eastAsia="fr-FR"/>
        </w:rPr>
      </w:pPr>
    </w:p>
    <w:p w14:paraId="759CE7BF" w14:textId="77777777" w:rsidR="000147DB" w:rsidRPr="00AB6457" w:rsidRDefault="000147DB" w:rsidP="000147DB">
      <w:pPr>
        <w:spacing w:after="0" w:line="240" w:lineRule="auto"/>
        <w:jc w:val="both"/>
        <w:rPr>
          <w:rFonts w:eastAsia="Times New Roman" w:cs="Arial"/>
          <w:strike/>
          <w:lang w:eastAsia="fr-FR"/>
        </w:rPr>
      </w:pPr>
    </w:p>
    <w:p w14:paraId="1F738067" w14:textId="77777777" w:rsidR="000147DB" w:rsidRPr="00AB6457" w:rsidRDefault="000147DB" w:rsidP="002F5A31">
      <w:pPr>
        <w:keepNext/>
        <w:keepLines/>
        <w:spacing w:beforeLines="100" w:before="240" w:after="240" w:line="240" w:lineRule="auto"/>
        <w:jc w:val="both"/>
        <w:rPr>
          <w:rFonts w:eastAsia="Calibri" w:cs="TimesNewRoman"/>
          <w:b/>
          <w:color w:val="FF0000"/>
          <w:sz w:val="24"/>
          <w:szCs w:val="24"/>
          <w:u w:val="single"/>
        </w:rPr>
      </w:pPr>
      <w:r w:rsidRPr="00AB6457">
        <w:rPr>
          <w:b/>
          <w:color w:val="FF0000"/>
          <w:sz w:val="24"/>
          <w:szCs w:val="24"/>
          <w:u w:val="single"/>
        </w:rPr>
        <w:t xml:space="preserve">5. pants. Iepakojuma samazināšana </w:t>
      </w:r>
    </w:p>
    <w:p w14:paraId="2D11A631" w14:textId="77777777" w:rsidR="000147DB" w:rsidRPr="00AB6457" w:rsidRDefault="000147DB" w:rsidP="002F5A31">
      <w:pPr>
        <w:keepNext/>
        <w:keepLines/>
        <w:spacing w:beforeLines="100" w:before="240" w:after="240" w:line="240" w:lineRule="auto"/>
        <w:jc w:val="both"/>
        <w:rPr>
          <w:rFonts w:eastAsia="Calibri" w:cs="TimesNewRoman"/>
          <w:color w:val="FF0000"/>
          <w:sz w:val="24"/>
          <w:szCs w:val="24"/>
        </w:rPr>
      </w:pPr>
      <w:r w:rsidRPr="00AB6457">
        <w:rPr>
          <w:color w:val="FF0000"/>
          <w:sz w:val="24"/>
          <w:szCs w:val="24"/>
        </w:rPr>
        <w:t>Lai ilgtspējīgi samazinātu iepakojuma patēriņu Luksemburgas teritorijā:</w:t>
      </w:r>
    </w:p>
    <w:p w14:paraId="1921772D" w14:textId="2F6CC734" w:rsidR="000147DB" w:rsidRPr="00832CA7" w:rsidRDefault="000147DB" w:rsidP="000147DB">
      <w:pPr>
        <w:pStyle w:val="Liste10"/>
        <w:spacing w:before="240"/>
        <w:ind w:left="360" w:hanging="427"/>
        <w:rPr>
          <w:rFonts w:cs="TimesNewRoman"/>
          <w:color w:val="FF0000"/>
          <w:spacing w:val="-4"/>
          <w:sz w:val="24"/>
          <w:szCs w:val="24"/>
        </w:rPr>
      </w:pPr>
      <w:r w:rsidRPr="00832CA7">
        <w:rPr>
          <w:color w:val="FF0000"/>
          <w:spacing w:val="-4"/>
          <w:sz w:val="24"/>
          <w:szCs w:val="24"/>
        </w:rPr>
        <w:t>1.</w:t>
      </w:r>
      <w:r w:rsidRPr="00832CA7">
        <w:rPr>
          <w:color w:val="FF0000"/>
          <w:spacing w:val="-4"/>
          <w:sz w:val="24"/>
          <w:szCs w:val="24"/>
        </w:rPr>
        <w:tab/>
        <w:t>sākot no 2022. gada 1. janvāra jebkurā mazumtirdzniecības veikalā, kurā tiek pārdoti svaigi augļi un dārzeņi, kas uzskaitīti III pielikumā, tostarp mizoti vai sagriezti augļi un dārzeņi, tie jāizstāda bez iesaiņojuma, kas pilnībā vai daļēji izgatavots no plastmasas. Šis pienākums neattiecas uz augļiem un dārzeņiem, kas iesaiņoti partijās, kuras sver 1,5 kilogramus vai vairāk; </w:t>
      </w:r>
    </w:p>
    <w:p w14:paraId="33E5B6DD" w14:textId="77777777" w:rsidR="000147DB" w:rsidRPr="00AB6457" w:rsidRDefault="000147DB" w:rsidP="000147DB">
      <w:pPr>
        <w:pStyle w:val="Liste10"/>
        <w:spacing w:before="240"/>
        <w:ind w:left="360"/>
        <w:rPr>
          <w:rFonts w:cs="TimesNewRoman"/>
          <w:b/>
          <w:sz w:val="24"/>
          <w:szCs w:val="24"/>
          <w:lang w:eastAsia="fr-BE"/>
        </w:rPr>
      </w:pPr>
    </w:p>
    <w:p w14:paraId="0EA51AFF" w14:textId="633BD9CF" w:rsidR="000147DB" w:rsidRPr="00AB6457" w:rsidRDefault="000147DB" w:rsidP="002F5A31">
      <w:pPr>
        <w:tabs>
          <w:tab w:val="left" w:pos="284"/>
        </w:tabs>
        <w:spacing w:beforeLines="100" w:before="240" w:after="240" w:line="240" w:lineRule="auto"/>
        <w:jc w:val="both"/>
        <w:rPr>
          <w:rFonts w:eastAsia="Calibri" w:cs="TimesNewRoman"/>
          <w:color w:val="FF0000"/>
          <w:sz w:val="24"/>
          <w:szCs w:val="24"/>
        </w:rPr>
      </w:pPr>
      <w:r w:rsidRPr="00AB6457">
        <w:rPr>
          <w:color w:val="FF0000"/>
          <w:sz w:val="24"/>
          <w:szCs w:val="24"/>
        </w:rPr>
        <w:t>2. plāno plastmasas maisiņu patēriņa līmenis gadā nedrīkst pārsniegt deviņdesmit maisiņu vienības uz vienu cilvēku, sākot no 2019. gada 31. decembra, un četrdesmit vienības uz vienu cilvēku — no 2025. gada 31. decembra. Tas neattiecas uz īpaši plānajiem plastmasas maisiņiem 3. panta 5. punkta nozīmē;</w:t>
      </w:r>
    </w:p>
    <w:p w14:paraId="6F0972E3"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3. preču vai produktu tirdzniecības vietās nekādi plastmasas maisiņi netiek nodrošināti bez maksas. Tas neattiecas uz īpaši plānajiem plastmasas maisiņiem 3. panta 5. punkta nozīmē;</w:t>
      </w:r>
    </w:p>
    <w:p w14:paraId="58896EE4" w14:textId="77777777" w:rsidR="000147DB" w:rsidRPr="00AB6457" w:rsidRDefault="000147DB" w:rsidP="002F5A31">
      <w:pPr>
        <w:keepNext/>
        <w:keepLines/>
        <w:spacing w:beforeLines="100" w:before="240" w:after="240" w:line="240" w:lineRule="auto"/>
        <w:jc w:val="both"/>
        <w:rPr>
          <w:rFonts w:cs="TimesNewRoman"/>
          <w:color w:val="FF0000"/>
          <w:sz w:val="24"/>
          <w:szCs w:val="24"/>
        </w:rPr>
      </w:pPr>
      <w:r w:rsidRPr="00AB6457">
        <w:rPr>
          <w:color w:val="FF0000"/>
          <w:sz w:val="24"/>
          <w:szCs w:val="24"/>
        </w:rPr>
        <w:t xml:space="preserve">4. saskaņā ar turpmāk sniegto laika grafiku preču vai produktu tirdzniecības vietās nedrīkst bez maksas nodrošināt šādu palīgiepakojumu: </w:t>
      </w:r>
    </w:p>
    <w:p w14:paraId="2B70078E" w14:textId="77777777" w:rsidR="000147DB" w:rsidRPr="00AB6457" w:rsidRDefault="000147DB" w:rsidP="000147DB">
      <w:pPr>
        <w:spacing w:beforeLines="100" w:before="240" w:after="240" w:line="240" w:lineRule="auto"/>
        <w:jc w:val="both"/>
        <w:rPr>
          <w:rFonts w:cs="TimesNewRoman"/>
          <w:color w:val="FF0000"/>
          <w:sz w:val="24"/>
          <w:szCs w:val="24"/>
        </w:rPr>
      </w:pPr>
      <w:r w:rsidRPr="00AB6457">
        <w:rPr>
          <w:color w:val="FF0000"/>
          <w:sz w:val="24"/>
          <w:szCs w:val="24"/>
        </w:rPr>
        <w:t>no 2023. gada 1. janvāra — maisiņus, neatkarīgi no to izgatavošanas materiāla;</w:t>
      </w:r>
    </w:p>
    <w:p w14:paraId="03DEAD8E"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no 2024. gada 1. janvāra — palīgiepakojumu, kas ir vienreizlietojami izstrādājumi, kuri uzskaitīti pielikuma A daļā [..] Likumā par dažu plastmasas izstrādājumu ietekmes uz vidi novērtējumu, neatkarīgi no izgatavošanas materiāla;</w:t>
      </w:r>
    </w:p>
    <w:p w14:paraId="10B4C155" w14:textId="77777777" w:rsidR="000147DB" w:rsidRPr="00AB6457" w:rsidRDefault="000147DB" w:rsidP="000147DB">
      <w:pPr>
        <w:spacing w:beforeLines="100" w:before="240" w:after="240" w:line="240" w:lineRule="auto"/>
        <w:jc w:val="both"/>
        <w:rPr>
          <w:rFonts w:cs="TimesNewRoman"/>
          <w:color w:val="FF0000"/>
          <w:sz w:val="24"/>
          <w:szCs w:val="24"/>
        </w:rPr>
      </w:pPr>
      <w:r w:rsidRPr="00AB6457">
        <w:rPr>
          <w:color w:val="FF0000"/>
          <w:sz w:val="24"/>
          <w:szCs w:val="24"/>
        </w:rPr>
        <w:t>no 2025. gada 1. janvāra — jebkuru palīgiepakojumu.</w:t>
      </w:r>
    </w:p>
    <w:p w14:paraId="01699BD2" w14:textId="77777777" w:rsidR="000147DB" w:rsidRPr="00832CA7" w:rsidRDefault="000147DB" w:rsidP="000147DB">
      <w:pPr>
        <w:spacing w:beforeLines="100" w:before="240" w:after="240" w:line="240" w:lineRule="auto"/>
        <w:jc w:val="both"/>
        <w:rPr>
          <w:rFonts w:eastAsia="Calibri" w:cstheme="minorHAnsi"/>
          <w:bCs/>
          <w:color w:val="FF0000"/>
          <w:spacing w:val="-4"/>
          <w:sz w:val="24"/>
          <w:szCs w:val="24"/>
        </w:rPr>
      </w:pPr>
      <w:r w:rsidRPr="00832CA7">
        <w:rPr>
          <w:color w:val="FF0000"/>
          <w:spacing w:val="-4"/>
          <w:sz w:val="24"/>
          <w:szCs w:val="24"/>
        </w:rPr>
        <w:t>(2) Produktiem, kas minēti 1. punkta 3. un 4. apakšpunktā, jābūt ar atturošu cenu, kas tirdzniecības vietā un rēķinā jānorāda atsevišķi un uzskatāmi.</w:t>
      </w:r>
      <w:r w:rsidRPr="00832CA7">
        <w:rPr>
          <w:bCs/>
          <w:color w:val="FF0000"/>
          <w:spacing w:val="-4"/>
          <w:sz w:val="24"/>
          <w:szCs w:val="24"/>
        </w:rPr>
        <w:t xml:space="preserve"> Minimālo cenu var noteikt vides nolīgumā.</w:t>
      </w:r>
    </w:p>
    <w:p w14:paraId="4B8B74C5" w14:textId="77777777" w:rsidR="000147DB" w:rsidRPr="00AB6457" w:rsidRDefault="000147DB" w:rsidP="000147DB">
      <w:pPr>
        <w:spacing w:after="0" w:line="240" w:lineRule="auto"/>
        <w:jc w:val="both"/>
        <w:rPr>
          <w:rFonts w:eastAsia="Times New Roman" w:cs="Arial"/>
          <w:color w:val="FF0000"/>
          <w:lang w:eastAsia="fr-FR"/>
        </w:rPr>
      </w:pPr>
    </w:p>
    <w:p w14:paraId="400B8D39" w14:textId="77777777" w:rsidR="000147DB" w:rsidRPr="00AB6457" w:rsidRDefault="000147DB" w:rsidP="002F5A31">
      <w:pPr>
        <w:keepNext/>
        <w:keepLines/>
        <w:spacing w:beforeLines="100" w:before="240" w:after="240" w:line="240" w:lineRule="auto"/>
        <w:jc w:val="both"/>
        <w:rPr>
          <w:rFonts w:eastAsia="Calibri" w:cs="TimesNewRoman"/>
          <w:color w:val="FF0000"/>
          <w:sz w:val="24"/>
          <w:szCs w:val="24"/>
          <w:u w:val="single"/>
        </w:rPr>
      </w:pPr>
      <w:r w:rsidRPr="00AB6457">
        <w:rPr>
          <w:color w:val="FF0000"/>
          <w:sz w:val="24"/>
          <w:szCs w:val="24"/>
          <w:u w:val="single"/>
        </w:rPr>
        <w:t>5.a pants. Atkalizmantošana </w:t>
      </w:r>
    </w:p>
    <w:p w14:paraId="163598FA" w14:textId="77777777" w:rsidR="000147DB" w:rsidRPr="00AB6457" w:rsidRDefault="000147DB" w:rsidP="000147DB">
      <w:pPr>
        <w:jc w:val="both"/>
        <w:rPr>
          <w:color w:val="FF0000"/>
          <w:sz w:val="24"/>
        </w:rPr>
      </w:pPr>
      <w:r w:rsidRPr="00AB6457">
        <w:rPr>
          <w:color w:val="FF0000"/>
          <w:sz w:val="24"/>
        </w:rPr>
        <w:t>Saskaņā ar atkritumu hierarhiju, kas noteikta 2012. gada 21. marta likuma 9. pantā, ministrs var noslēgt vides nolīgumus, lai veicinātu lielākas atkārtoti izmantojama iepakojuma daļas laišanu tirgū un iepakojuma atkārtotas izmantošanas sistēmas, kas nekaitē videi.</w:t>
      </w:r>
    </w:p>
    <w:p w14:paraId="213A7D6C" w14:textId="77777777" w:rsidR="000147DB" w:rsidRPr="00AB6457" w:rsidRDefault="000147DB" w:rsidP="002F5A31">
      <w:pPr>
        <w:keepNext/>
        <w:keepLines/>
        <w:jc w:val="both"/>
        <w:rPr>
          <w:color w:val="FF0000"/>
          <w:sz w:val="24"/>
        </w:rPr>
      </w:pPr>
      <w:r w:rsidRPr="00AB6457">
        <w:rPr>
          <w:color w:val="FF0000"/>
          <w:sz w:val="24"/>
        </w:rPr>
        <w:lastRenderedPageBreak/>
        <w:t xml:space="preserve">Šajos nolīgumos cita starpā var paredzēt: </w:t>
      </w:r>
    </w:p>
    <w:p w14:paraId="5BEA6077" w14:textId="77777777" w:rsidR="000147DB" w:rsidRPr="00AB6457" w:rsidRDefault="000147DB" w:rsidP="000147DB">
      <w:pPr>
        <w:jc w:val="both"/>
        <w:rPr>
          <w:color w:val="FF0000"/>
          <w:sz w:val="24"/>
        </w:rPr>
      </w:pPr>
      <w:r w:rsidRPr="00AB6457">
        <w:rPr>
          <w:color w:val="FF0000"/>
          <w:sz w:val="24"/>
        </w:rPr>
        <w:t>1. depozīta sistēmu izmantošanu;</w:t>
      </w:r>
    </w:p>
    <w:p w14:paraId="498392F7" w14:textId="77777777" w:rsidR="000147DB" w:rsidRPr="00AB6457" w:rsidRDefault="000147DB" w:rsidP="000147DB">
      <w:pPr>
        <w:jc w:val="both"/>
        <w:rPr>
          <w:color w:val="FF0000"/>
          <w:sz w:val="24"/>
        </w:rPr>
      </w:pPr>
      <w:r w:rsidRPr="00AB6457">
        <w:rPr>
          <w:color w:val="FF0000"/>
          <w:sz w:val="24"/>
        </w:rPr>
        <w:t>2. kvalitatīvu vai kvantitatīvu mērķu noteikšanu;</w:t>
      </w:r>
    </w:p>
    <w:p w14:paraId="57A9F07C" w14:textId="77777777" w:rsidR="000147DB" w:rsidRPr="00AB6457" w:rsidRDefault="000147DB" w:rsidP="000147DB">
      <w:pPr>
        <w:jc w:val="both"/>
        <w:rPr>
          <w:color w:val="FF0000"/>
          <w:sz w:val="24"/>
        </w:rPr>
      </w:pPr>
      <w:r w:rsidRPr="00AB6457">
        <w:rPr>
          <w:color w:val="FF0000"/>
          <w:sz w:val="24"/>
        </w:rPr>
        <w:t>3. ekonomisku stimulu izmantošanu;</w:t>
      </w:r>
    </w:p>
    <w:p w14:paraId="2D7BAE53" w14:textId="77777777" w:rsidR="000147DB" w:rsidRPr="00AB6457" w:rsidRDefault="000147DB" w:rsidP="000147DB">
      <w:pPr>
        <w:jc w:val="both"/>
        <w:rPr>
          <w:color w:val="FF0000"/>
          <w:sz w:val="24"/>
        </w:rPr>
      </w:pPr>
      <w:r w:rsidRPr="00AB6457">
        <w:rPr>
          <w:color w:val="FF0000"/>
          <w:sz w:val="24"/>
        </w:rPr>
        <w:t>4. katru gadu tirgū laistā atkārtoti izmantojamā iepakojuma minimālās procentuālās daļas noteikšanu katrai iepakojuma plūsmai.</w:t>
      </w:r>
    </w:p>
    <w:p w14:paraId="7CDB617E" w14:textId="77777777" w:rsidR="000147DB" w:rsidRPr="00AB6457" w:rsidRDefault="000147DB" w:rsidP="000147DB">
      <w:pPr>
        <w:spacing w:after="0" w:line="240" w:lineRule="auto"/>
        <w:jc w:val="both"/>
        <w:rPr>
          <w:rFonts w:eastAsia="Times New Roman" w:cs="Arial"/>
          <w:lang w:eastAsia="fr-FR"/>
        </w:rPr>
      </w:pPr>
    </w:p>
    <w:p w14:paraId="07381996" w14:textId="77777777" w:rsidR="000147DB" w:rsidRPr="00AB6457" w:rsidRDefault="000147DB" w:rsidP="000147DB">
      <w:pPr>
        <w:spacing w:after="0" w:line="240" w:lineRule="auto"/>
        <w:jc w:val="both"/>
        <w:rPr>
          <w:rFonts w:eastAsia="Times New Roman" w:cs="Arial"/>
          <w:lang w:eastAsia="fr-FR"/>
        </w:rPr>
      </w:pPr>
    </w:p>
    <w:p w14:paraId="0E3A37E2" w14:textId="77777777" w:rsidR="000147DB" w:rsidRPr="00AB6457" w:rsidRDefault="000147DB" w:rsidP="002F5A31">
      <w:pPr>
        <w:pStyle w:val="Liste10"/>
        <w:keepNext/>
        <w:keepLines/>
        <w:spacing w:before="240"/>
        <w:rPr>
          <w:rFonts w:cs="TimesNewRoman"/>
          <w:b/>
          <w:color w:val="FF0000"/>
          <w:sz w:val="24"/>
          <w:szCs w:val="24"/>
        </w:rPr>
      </w:pPr>
      <w:r w:rsidRPr="00AB6457">
        <w:rPr>
          <w:color w:val="FF0000"/>
          <w:sz w:val="24"/>
          <w:szCs w:val="24"/>
          <w:u w:val="single"/>
        </w:rPr>
        <w:t>6. pants. Reģenerācija un reciklēšana</w:t>
      </w:r>
    </w:p>
    <w:p w14:paraId="6A7E88E7" w14:textId="77777777" w:rsidR="000147DB" w:rsidRPr="00AB6457" w:rsidRDefault="000147DB" w:rsidP="002F5A31">
      <w:pPr>
        <w:pStyle w:val="Liste10"/>
        <w:keepNext/>
        <w:keepLines/>
        <w:spacing w:before="240"/>
        <w:rPr>
          <w:rFonts w:cs="TimesNewRoman"/>
          <w:b/>
          <w:color w:val="FF0000"/>
          <w:sz w:val="24"/>
          <w:szCs w:val="24"/>
        </w:rPr>
      </w:pPr>
      <w:r w:rsidRPr="00AB6457">
        <w:rPr>
          <w:color w:val="FF0000"/>
          <w:sz w:val="24"/>
          <w:szCs w:val="24"/>
        </w:rPr>
        <w:t>Iepakojuma apsaimniekotājiem ir jāsasniedz šādi minimālie mērķi: </w:t>
      </w:r>
    </w:p>
    <w:p w14:paraId="135701C7" w14:textId="77777777" w:rsidR="000147DB" w:rsidRPr="00AB6457" w:rsidRDefault="000147DB" w:rsidP="000147DB">
      <w:pPr>
        <w:pStyle w:val="Liste10"/>
        <w:spacing w:before="240"/>
        <w:rPr>
          <w:rFonts w:cs="TimesNewRoman"/>
          <w:b/>
          <w:color w:val="FF0000"/>
          <w:sz w:val="24"/>
          <w:szCs w:val="24"/>
        </w:rPr>
      </w:pPr>
      <w:r w:rsidRPr="00AB6457">
        <w:rPr>
          <w:color w:val="FF0000"/>
          <w:sz w:val="24"/>
          <w:szCs w:val="24"/>
        </w:rPr>
        <w:t>1) 65 % izlietotā iepakojuma pēc svara tiek reģenerēti vai sadedzināti atkritumu incinerācijas iekārtās, nodrošinot enerģijas ieguvi;</w:t>
      </w:r>
    </w:p>
    <w:p w14:paraId="0BEBEC70" w14:textId="77777777" w:rsidR="000147DB" w:rsidRPr="00AB6457" w:rsidRDefault="000147DB" w:rsidP="000147DB">
      <w:pPr>
        <w:pStyle w:val="Liste10"/>
        <w:spacing w:before="240"/>
        <w:rPr>
          <w:rFonts w:cs="TimesNewRoman"/>
          <w:b/>
          <w:color w:val="FF0000"/>
          <w:sz w:val="24"/>
          <w:szCs w:val="24"/>
        </w:rPr>
      </w:pPr>
      <w:r w:rsidRPr="00AB6457">
        <w:rPr>
          <w:color w:val="FF0000"/>
          <w:sz w:val="24"/>
          <w:szCs w:val="24"/>
        </w:rPr>
        <w:t>2) 60 % izlietotā iepakojuma pēc svara tiek reciklēti, ievērojot šādus minimālos reciklēšanas mērķus attiecībā uz materiāliem, ko satur izlietotais iepakojums — 60 % svara stiklam, 60 % svara papīram un kartonam, 50 % svara metāliem, 22,5 % svara plastmasai, ņemot vērā tikai tos materiālus, kas reciklēti kā plastmasa, un 15 % svara koksnei;</w:t>
      </w:r>
    </w:p>
    <w:p w14:paraId="74DA408D" w14:textId="77777777" w:rsidR="000147DB" w:rsidRPr="00AB6457" w:rsidRDefault="000147DB" w:rsidP="000147DB">
      <w:pPr>
        <w:pStyle w:val="Liste10"/>
        <w:spacing w:before="240"/>
        <w:rPr>
          <w:rFonts w:cs="TimesNewRoman"/>
          <w:b/>
          <w:color w:val="FF0000"/>
          <w:sz w:val="24"/>
          <w:szCs w:val="24"/>
        </w:rPr>
      </w:pPr>
      <w:r w:rsidRPr="00AB6457">
        <w:rPr>
          <w:color w:val="FF0000"/>
          <w:sz w:val="24"/>
          <w:szCs w:val="24"/>
        </w:rPr>
        <w:t>3) vēlākais 2025. gada 31. decembrī jāreciklē vismaz 65 % visa izlietotā iepakojuma pēc svara;</w:t>
      </w:r>
    </w:p>
    <w:p w14:paraId="73EB6671" w14:textId="77777777" w:rsidR="000147DB" w:rsidRPr="00AB6457" w:rsidRDefault="000147DB" w:rsidP="002F5A31">
      <w:pPr>
        <w:pStyle w:val="Liste10"/>
        <w:keepNext/>
        <w:keepLines/>
        <w:spacing w:before="240"/>
        <w:rPr>
          <w:rFonts w:cs="TimesNewRoman"/>
          <w:b/>
          <w:color w:val="FF0000"/>
          <w:sz w:val="24"/>
          <w:szCs w:val="24"/>
        </w:rPr>
      </w:pPr>
      <w:r w:rsidRPr="00AB6457">
        <w:rPr>
          <w:color w:val="FF0000"/>
          <w:sz w:val="24"/>
          <w:szCs w:val="24"/>
        </w:rPr>
        <w:t>4) vēlākais 2025. gada 31. decembrī jāsasniedz šādi minimālie reciklēšanas mērķi attiecībā uz konkrētiem materiāliem, kurus satur izlietotais iepakojums:</w:t>
      </w:r>
    </w:p>
    <w:p w14:paraId="28C5FBC2"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a) 50 % pēc svara plastmasai;</w:t>
      </w:r>
    </w:p>
    <w:p w14:paraId="4E57FAF2"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b) 25 % pēc svara koksnei;</w:t>
      </w:r>
    </w:p>
    <w:p w14:paraId="2042FBF8"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c) 70 % pēc svara dzelzi saturošiem metāliem;</w:t>
      </w:r>
    </w:p>
    <w:p w14:paraId="44C91BB4"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d) 50 % pēc svara alumīnijam;</w:t>
      </w:r>
    </w:p>
    <w:p w14:paraId="7238B496"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e) 70 % pēc svara stiklam;</w:t>
      </w:r>
    </w:p>
    <w:p w14:paraId="0474C36D"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f) 75 % pēc svara papīram un kartonam;</w:t>
      </w:r>
    </w:p>
    <w:p w14:paraId="0E79D37D" w14:textId="77777777" w:rsidR="000147DB" w:rsidRPr="00AB6457" w:rsidRDefault="000147DB" w:rsidP="000147DB">
      <w:pPr>
        <w:pStyle w:val="Liste10"/>
        <w:spacing w:before="240"/>
        <w:rPr>
          <w:rFonts w:cs="TimesNewRoman"/>
          <w:color w:val="FF0000"/>
          <w:sz w:val="24"/>
          <w:szCs w:val="24"/>
        </w:rPr>
      </w:pPr>
      <w:r w:rsidRPr="00AB6457">
        <w:rPr>
          <w:color w:val="FF0000"/>
          <w:sz w:val="24"/>
          <w:szCs w:val="24"/>
        </w:rPr>
        <w:t>5) vēlākais 2030. gada 31. decembrī jāreciklē vismaz 70 % visa izlietotā iepakojuma pēc svara;</w:t>
      </w:r>
    </w:p>
    <w:p w14:paraId="72B3204C" w14:textId="77777777" w:rsidR="000147DB" w:rsidRPr="00AB6457" w:rsidRDefault="000147DB" w:rsidP="002F5A31">
      <w:pPr>
        <w:pStyle w:val="Liste10"/>
        <w:keepNext/>
        <w:keepLines/>
        <w:spacing w:before="240"/>
        <w:rPr>
          <w:rFonts w:cs="TimesNewRoman"/>
          <w:color w:val="FF0000"/>
          <w:sz w:val="24"/>
          <w:szCs w:val="24"/>
        </w:rPr>
      </w:pPr>
      <w:r w:rsidRPr="00AB6457">
        <w:rPr>
          <w:color w:val="FF0000"/>
          <w:sz w:val="24"/>
          <w:szCs w:val="24"/>
        </w:rPr>
        <w:lastRenderedPageBreak/>
        <w:t>6) vēlākais 2030. gada 31. decembrī jāsasniedz šādi minimālie reciklēšanas mērķi attiecībā uz konkrētiem materiāliem, kurus satur izlietotais iepakojums:</w:t>
      </w:r>
    </w:p>
    <w:p w14:paraId="5CEB0529"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a) 55 % pēc svara plastmasai;</w:t>
      </w:r>
    </w:p>
    <w:p w14:paraId="3F31D1FB"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b) 30 % pēc svara koksnei;</w:t>
      </w:r>
    </w:p>
    <w:p w14:paraId="75516D16"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c) 80 % pēc svara dzelzi saturošiem metāliem;</w:t>
      </w:r>
    </w:p>
    <w:p w14:paraId="4FD2DC34"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d) 60 % pēc svara alumīnijam;</w:t>
      </w:r>
    </w:p>
    <w:p w14:paraId="6756906E"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e) 75 % pēc svara stiklam;</w:t>
      </w:r>
    </w:p>
    <w:p w14:paraId="7EEFA81F" w14:textId="77777777" w:rsidR="000147DB" w:rsidRPr="00AB6457" w:rsidRDefault="000147DB" w:rsidP="000147DB">
      <w:pPr>
        <w:pStyle w:val="Liste10"/>
        <w:spacing w:before="240"/>
        <w:ind w:left="851"/>
        <w:rPr>
          <w:rFonts w:cs="TimesNewRoman"/>
          <w:b/>
          <w:color w:val="FF0000"/>
          <w:sz w:val="24"/>
          <w:szCs w:val="24"/>
        </w:rPr>
      </w:pPr>
      <w:r w:rsidRPr="00AB6457">
        <w:rPr>
          <w:color w:val="FF0000"/>
          <w:sz w:val="24"/>
          <w:szCs w:val="24"/>
        </w:rPr>
        <w:t>f) 85 % pēc svara papīram un kartonam.</w:t>
      </w:r>
    </w:p>
    <w:p w14:paraId="4B119723" w14:textId="77777777" w:rsidR="000147DB" w:rsidRPr="00AB6457" w:rsidRDefault="000147DB" w:rsidP="000147DB">
      <w:pPr>
        <w:pStyle w:val="Liste10"/>
        <w:spacing w:before="240"/>
        <w:rPr>
          <w:rFonts w:cs="TimesNewRoman"/>
          <w:color w:val="FF0000"/>
          <w:sz w:val="24"/>
          <w:szCs w:val="24"/>
        </w:rPr>
      </w:pPr>
      <w:r w:rsidRPr="00AB6457">
        <w:rPr>
          <w:color w:val="FF0000"/>
          <w:sz w:val="24"/>
          <w:szCs w:val="24"/>
        </w:rPr>
        <w:t>Neskarot 14. pantu, Vides aizsardzības pārvalde nodrošina, ka šie pienākumi un mērķi tiek iekļauti informatīvā kampaņā, kas paredzēta plašai sabiedrībai un ekonomikas dalībniekiem.</w:t>
      </w:r>
    </w:p>
    <w:p w14:paraId="7CDFE683" w14:textId="77777777" w:rsidR="000147DB" w:rsidRPr="00AB6457" w:rsidRDefault="000147DB" w:rsidP="000147DB">
      <w:pPr>
        <w:spacing w:after="0" w:line="240" w:lineRule="auto"/>
        <w:jc w:val="both"/>
        <w:rPr>
          <w:rFonts w:eastAsia="Times New Roman" w:cs="Arial"/>
          <w:color w:val="FF0000"/>
          <w:lang w:eastAsia="fr-FR"/>
        </w:rPr>
      </w:pPr>
    </w:p>
    <w:p w14:paraId="349B36C3" w14:textId="77777777" w:rsidR="000147DB" w:rsidRPr="00AB6457" w:rsidRDefault="000147DB" w:rsidP="002F5A31">
      <w:pPr>
        <w:keepNext/>
        <w:keepLines/>
        <w:spacing w:beforeLines="100" w:before="240" w:after="240" w:line="240" w:lineRule="auto"/>
        <w:jc w:val="both"/>
        <w:rPr>
          <w:rFonts w:eastAsia="Calibri" w:cs="TimesNewRoman"/>
          <w:color w:val="FF0000"/>
          <w:sz w:val="24"/>
          <w:szCs w:val="24"/>
        </w:rPr>
      </w:pPr>
      <w:r w:rsidRPr="00AB6457">
        <w:rPr>
          <w:color w:val="FF0000"/>
          <w:sz w:val="24"/>
          <w:szCs w:val="24"/>
          <w:u w:val="single"/>
        </w:rPr>
        <w:t>6.a pants. Noteikumi, ko piemēro aprēķiniem, izvērtējot mērķu sasniegšanu</w:t>
      </w:r>
    </w:p>
    <w:p w14:paraId="4190A464" w14:textId="77777777" w:rsidR="000147DB" w:rsidRPr="00832CA7" w:rsidRDefault="000147DB" w:rsidP="002F5A31">
      <w:pPr>
        <w:keepNext/>
        <w:keepLines/>
        <w:spacing w:beforeLines="100" w:before="240" w:after="240" w:line="240" w:lineRule="auto"/>
        <w:jc w:val="both"/>
        <w:rPr>
          <w:rFonts w:eastAsia="Calibri" w:cs="TimesNewRoman"/>
          <w:color w:val="FF0000"/>
          <w:spacing w:val="-4"/>
          <w:sz w:val="24"/>
          <w:szCs w:val="24"/>
        </w:rPr>
      </w:pPr>
      <w:r w:rsidRPr="00832CA7">
        <w:rPr>
          <w:color w:val="FF0000"/>
          <w:spacing w:val="-4"/>
          <w:sz w:val="24"/>
          <w:szCs w:val="24"/>
        </w:rPr>
        <w:t>(1) Lai aprēķinu ceļā noteiktu, vai ir sasniegti 6. panta 1. punkta 3.–6. apakšpunktā paredzētie mērķi:</w:t>
      </w:r>
    </w:p>
    <w:p w14:paraId="64FF6A17" w14:textId="77777777" w:rsidR="000147DB" w:rsidRPr="00AB6457" w:rsidRDefault="000147DB" w:rsidP="000147DB">
      <w:pPr>
        <w:spacing w:beforeLines="100" w:before="240" w:after="240" w:line="240" w:lineRule="auto"/>
        <w:ind w:left="720"/>
        <w:jc w:val="both"/>
        <w:rPr>
          <w:rFonts w:eastAsia="Calibri" w:cs="TimesNewRoman"/>
          <w:color w:val="FF0000"/>
          <w:sz w:val="24"/>
          <w:szCs w:val="24"/>
        </w:rPr>
      </w:pPr>
      <w:r w:rsidRPr="00AB6457">
        <w:rPr>
          <w:color w:val="FF0000"/>
          <w:sz w:val="24"/>
          <w:szCs w:val="24"/>
        </w:rPr>
        <w:t>1. saražotā un reciklētā izlietotā iepakojuma svaru aprēķina attiecīgajā kalendārajā gadā. Saražotā izlietotā iepakojuma daudzumu var uzskatīt par vienādu ar tajā pašā gadā tirgū laistā iepakojuma daudzumu;</w:t>
      </w:r>
    </w:p>
    <w:p w14:paraId="3595E56C" w14:textId="77777777" w:rsidR="000147DB" w:rsidRPr="00832CA7" w:rsidRDefault="000147DB" w:rsidP="000147DB">
      <w:pPr>
        <w:spacing w:beforeLines="100" w:before="240" w:after="240" w:line="240" w:lineRule="auto"/>
        <w:ind w:left="720"/>
        <w:jc w:val="both"/>
        <w:rPr>
          <w:rFonts w:eastAsia="Calibri" w:cs="TimesNewRoman"/>
          <w:color w:val="FF0000"/>
          <w:spacing w:val="-4"/>
          <w:sz w:val="24"/>
          <w:szCs w:val="24"/>
        </w:rPr>
      </w:pPr>
      <w:r w:rsidRPr="00832CA7">
        <w:rPr>
          <w:color w:val="FF0000"/>
          <w:spacing w:val="-4"/>
          <w:sz w:val="24"/>
          <w:szCs w:val="24"/>
        </w:rPr>
        <w:t>2. reciklētā izlietotā iepakojuma svaru aprēķina kā tā iepakojuma svaru, kas kļuvis par atkritumiem, pēc tam, kad tam ir veiktas visas nepieciešamās kontroles, šķirošanas un citas sākotnējās darbības, kas vajadzīgas, lai izslēgtu atkritumus, uz kuriem neattiecas galīgās pārstrādes procesi, un nodrošinātu paaugstinātas kvalitātes reciklēšanu, uzsākot reciklēšanas darbību, kuras laikā atkritumus faktiski pārstrādā produktos, materiālos vai vielās.</w:t>
      </w:r>
    </w:p>
    <w:p w14:paraId="528F3DBE"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(2) Šā panta 1. punkta 1. apakšpunkta nolūkā reciklēta izlietotā iepakojuma svaru mēra, kad atkritumi nonāk reciklēšanas darbībā.</w:t>
      </w:r>
    </w:p>
    <w:p w14:paraId="5C40963C" w14:textId="77777777" w:rsidR="000147DB" w:rsidRPr="00AB6457" w:rsidRDefault="000147DB" w:rsidP="002F5A31">
      <w:pPr>
        <w:keepNext/>
        <w:keepLines/>
        <w:spacing w:beforeLines="100" w:before="240" w:after="240" w:line="240" w:lineRule="auto"/>
        <w:jc w:val="both"/>
        <w:rPr>
          <w:rFonts w:eastAsia="Calibri" w:cs="TimesNewRoman"/>
          <w:color w:val="FF0000"/>
          <w:sz w:val="24"/>
          <w:szCs w:val="24"/>
        </w:rPr>
      </w:pPr>
      <w:r w:rsidRPr="00AB6457">
        <w:rPr>
          <w:color w:val="FF0000"/>
          <w:sz w:val="24"/>
          <w:szCs w:val="24"/>
        </w:rPr>
        <w:t>Atkāpjoties no pirmās daļas, reciklēta izlietotā iepakojuma svaru var izmērīt, kad tas iziet no jebkuras šķirošanas darbības, ar nosacījumu, ka:</w:t>
      </w:r>
    </w:p>
    <w:p w14:paraId="34D0716F" w14:textId="77777777" w:rsidR="000147DB" w:rsidRPr="00AB6457" w:rsidRDefault="000147DB" w:rsidP="000147DB">
      <w:pPr>
        <w:spacing w:beforeLines="100" w:before="240" w:after="240" w:line="240" w:lineRule="auto"/>
        <w:ind w:left="851"/>
        <w:jc w:val="both"/>
        <w:rPr>
          <w:rFonts w:eastAsia="Calibri" w:cs="TimesNewRoman"/>
          <w:color w:val="FF0000"/>
          <w:sz w:val="24"/>
          <w:szCs w:val="24"/>
        </w:rPr>
      </w:pPr>
      <w:r w:rsidRPr="00AB6457">
        <w:rPr>
          <w:color w:val="FF0000"/>
          <w:sz w:val="24"/>
          <w:szCs w:val="24"/>
        </w:rPr>
        <w:t>1. šie atkritumi pēc iziešanas no šķirošanas darbības tiek pēc tam reciklēti;</w:t>
      </w:r>
    </w:p>
    <w:p w14:paraId="3B9C8FE8" w14:textId="77777777" w:rsidR="000147DB" w:rsidRPr="00AB6457" w:rsidRDefault="000147DB" w:rsidP="000147DB">
      <w:pPr>
        <w:spacing w:beforeLines="100" w:before="240" w:after="240" w:line="240" w:lineRule="auto"/>
        <w:ind w:left="851"/>
        <w:jc w:val="both"/>
        <w:rPr>
          <w:rFonts w:eastAsia="Calibri" w:cs="TimesNewRoman"/>
          <w:color w:val="FF0000"/>
          <w:sz w:val="24"/>
          <w:szCs w:val="24"/>
        </w:rPr>
      </w:pPr>
      <w:r w:rsidRPr="00AB6457">
        <w:rPr>
          <w:color w:val="FF0000"/>
          <w:sz w:val="24"/>
          <w:szCs w:val="24"/>
        </w:rPr>
        <w:t>2. to materiālu vai vielu svaru, kuras izslēdz, veicot citas darbības pirms reciklēšanas, un kuras pēc tam nereciklē, neiekļauj to atkritumu svarā, kurus deklarē kā reciklētus.</w:t>
      </w:r>
    </w:p>
    <w:p w14:paraId="0049964B"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lastRenderedPageBreak/>
        <w:t xml:space="preserve">(3) Lai nodrošinātu aprēķinu noteikumu ievērošanu un visas informācijas nodošanu kompetentajai pārvaldei, saskaņā ar 2012. gada 21. marta likuma 34. pantu ir izveidots elektronisks reģistrs. </w:t>
      </w:r>
    </w:p>
    <w:p w14:paraId="22177B03"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(4) Izlietotā iepakojuma daudzumu, kas zaudējis atkritumu statusu sagatavošanas darbības beigās pirms atkārtotas pārstrādes, var uzskatīt par reciklētu, ar noteikumu, ka šos atkritumus ir paredzēts pēc tam pārstrādāt produktos, materiālos vai vielās ar sākotnējo funkciju vai citiem mērķiem. Tomēr atkritumi, kas vairs nav atkritumi un ko paredzēts izmantot kā degvielu vai citu līdzekli enerģijas ražošanai vai ko paredzēts sadedzināt, apbērt vai apglabāt poligonā, netiek ņemti vērā attiecībā uz reciklēšanas mērķu sasniegšanu.</w:t>
      </w:r>
    </w:p>
    <w:p w14:paraId="79D6EBAB"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(5) Lai aprēķina ceļā noteiktu, vai ir sasniegti 6. panta 1. punkta 3.–6. apakšpunktā izvirzītie mērķi, Vides aizsardzības pārvalde var ņemt vērā to metālu reciklēšanu, kas atdalīti pēc atkritumu incinerācijas, proporcionāli sadedzinātā izlietotā iepakojuma daudzumam un ar nosacījumu, ka reciklētie metāli atbilst noteiktiem kvalitātes kritērijiem, kas paredzēti īstenošanas aktā, kurš pieņemts saskaņā ar Direktīvas 2008/98/EK 11.a panta 9. punktu.</w:t>
      </w:r>
    </w:p>
    <w:p w14:paraId="451BF595"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(6) Izlietoto iepakojumu, kas nosūtīts uz citu Eiropas Savienības dalībvalsti, lai to reciklētu šajā dalībvalstī, ņem vērā attiecībā uz 6. panta 1. punkta 3.–6. apakšpunktā noteikto mērķu sasniegšanu Luksemburgā.</w:t>
      </w:r>
    </w:p>
    <w:p w14:paraId="5CA935B6"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(7) No Eiropas Savienības izvesto izlietoto iepakojumu neņem vērā aprēķinos, kuru mērķis ir izvērtēt 6. panta 1. punktā noteikto mērķu sasniegšanu, ja vien nav izpildīti 3. punkta nosacījumi un ja vien saskaņā ar Eiropas Parlamenta un Padomes 2006. gada 14. jūnija Regulu (EK) Nr. 1013/2006 par atkritumu sūtījumiem eksportētājs nespēj pierādīt, ka šis atkritumu sūtījums atbilst minētās regulas prasībām un ka izlietotā iepakojuma apstrāde ārpus Eiropas Savienības ir notikusi apstākļos, kas būtībā ir līdzvērtīgi spēkā esošajām tiesību aktu prasībām vides jomā.</w:t>
      </w:r>
    </w:p>
    <w:p w14:paraId="627E6620" w14:textId="77777777" w:rsidR="000147DB" w:rsidRPr="00AB6457" w:rsidRDefault="000147DB" w:rsidP="000147DB">
      <w:pPr>
        <w:spacing w:after="0" w:line="240" w:lineRule="auto"/>
        <w:jc w:val="center"/>
        <w:rPr>
          <w:rFonts w:eastAsia="Calibri" w:cs="Arial"/>
        </w:rPr>
      </w:pPr>
    </w:p>
    <w:p w14:paraId="2620BFC1" w14:textId="77777777" w:rsidR="000147DB" w:rsidRPr="00AB6457" w:rsidRDefault="000147DB" w:rsidP="000147DB">
      <w:pPr>
        <w:spacing w:after="0" w:line="240" w:lineRule="auto"/>
        <w:jc w:val="both"/>
        <w:rPr>
          <w:rFonts w:eastAsia="Times New Roman" w:cs="Arial"/>
          <w:strike/>
          <w:color w:val="FF0000"/>
          <w:lang w:eastAsia="fr-FR"/>
        </w:rPr>
      </w:pPr>
    </w:p>
    <w:p w14:paraId="516918B1" w14:textId="77777777" w:rsidR="000147DB" w:rsidRPr="00AB6457" w:rsidRDefault="000147DB" w:rsidP="000147DB">
      <w:pPr>
        <w:spacing w:after="0" w:line="240" w:lineRule="auto"/>
        <w:jc w:val="center"/>
        <w:rPr>
          <w:rFonts w:eastAsia="Calibri" w:cs="Arial"/>
          <w:color w:val="FF0000"/>
        </w:rPr>
      </w:pPr>
    </w:p>
    <w:p w14:paraId="47E52660" w14:textId="77777777" w:rsidR="000147DB" w:rsidRPr="00AB6457" w:rsidRDefault="000147DB" w:rsidP="002F5A31">
      <w:pPr>
        <w:keepNext/>
        <w:keepLines/>
        <w:shd w:val="clear" w:color="auto" w:fill="FFFFFF"/>
        <w:spacing w:before="142" w:after="28"/>
        <w:jc w:val="both"/>
        <w:rPr>
          <w:rFonts w:eastAsia="Calibri" w:cs="TimesNewRoman"/>
          <w:color w:val="FF0000"/>
          <w:sz w:val="24"/>
          <w:szCs w:val="24"/>
        </w:rPr>
      </w:pPr>
      <w:r w:rsidRPr="00AB6457">
        <w:rPr>
          <w:color w:val="FF0000"/>
          <w:sz w:val="24"/>
          <w:szCs w:val="24"/>
          <w:u w:val="single"/>
        </w:rPr>
        <w:t>7. pants. Atpakaļnodošanas, savākšanas un reģenerācijas sistēmas</w:t>
      </w:r>
    </w:p>
    <w:p w14:paraId="3CFE162E" w14:textId="77777777" w:rsidR="000147DB" w:rsidRPr="00AB6457"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(1) Lai sasniegtu 1. pantā minētos mērķus un saskaņā ar 2. punktu, iepakojuma apsaimniekotājiem ir jānodrošina, vienlaikus ievērojot higiēnas prasības:</w:t>
      </w:r>
    </w:p>
    <w:p w14:paraId="7AA5AC5D" w14:textId="77777777" w:rsidR="000147DB" w:rsidRPr="00AB6457"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sidRPr="00AB6457">
        <w:rPr>
          <w:color w:val="FF0000"/>
          <w:sz w:val="24"/>
          <w:szCs w:val="24"/>
        </w:rPr>
        <w:t>1. patērētāja, jebkura cita galalietotāja vai atkritumu plūsmas radītā izmantotā vai izlietotā iepakojuma atpakaļnodošana vai savākšana, lai novirzītu to uz vispiemērotāko atkritumu apsaimniekošanas risinājumu;</w:t>
      </w:r>
    </w:p>
    <w:p w14:paraId="40D25AD4" w14:textId="77777777" w:rsidR="000147DB" w:rsidRPr="00AB6457"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sidRPr="00AB6457">
        <w:rPr>
          <w:color w:val="FF0000"/>
          <w:sz w:val="24"/>
          <w:szCs w:val="24"/>
        </w:rPr>
        <w:t>2. savāktā iepakojuma vai izlietotā iepakojuma atkārtota izmantošana, sagatavošana atkalizmantošanai vai reģenerācija, tostarp reciklēšana.</w:t>
      </w:r>
    </w:p>
    <w:p w14:paraId="60F35859" w14:textId="77777777" w:rsidR="000147DB" w:rsidRPr="00AB6457" w:rsidRDefault="000147DB" w:rsidP="00832CA7">
      <w:pPr>
        <w:keepLines/>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lastRenderedPageBreak/>
        <w:t>Šajās sistēmās var iesaistīties attiecīgo nozaru ekonomikas dalībnieki un kompetentās valsts iestādes. Tās piemēro arī importētiem produktiem nediskriminējošā veidā, tostarp attiecībā uz paredzētajām procedūrām un tarifiem, kas var būt noteikti attiecībā uz piekļuvi sistēmām, un tās ir izstrādātas tā, lai nepieļautu tirdzniecības šķēršļus vai konkurences izkropļojumus.</w:t>
      </w:r>
    </w:p>
    <w:p w14:paraId="7291264C"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(2) Lai līdz minimumam samazinātu izlietotā iepakojuma iznīcināšanu sadzīves atkritumu veidā un nodrošinātu paaugstinātu izlietotā iepakojuma atsevišķas savākšanas līmeni, piemēro šādus noteikumus:</w:t>
      </w:r>
    </w:p>
    <w:p w14:paraId="457714E4" w14:textId="77777777" w:rsidR="000147DB" w:rsidRPr="00AB6457"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a) attiecībā uz mājsaimniecību izlietoto iepakojumu:</w:t>
      </w:r>
    </w:p>
    <w:p w14:paraId="04693C3C" w14:textId="4E6B024E" w:rsidR="000147DB" w:rsidRPr="00AB6457" w:rsidRDefault="000147DB" w:rsidP="000147DB">
      <w:pPr>
        <w:spacing w:before="200" w:after="85" w:line="240" w:lineRule="auto"/>
        <w:ind w:left="375"/>
        <w:jc w:val="both"/>
        <w:rPr>
          <w:rFonts w:eastAsia="Calibri" w:cs="TimesNewRoman"/>
          <w:color w:val="FF0000"/>
          <w:sz w:val="24"/>
          <w:szCs w:val="24"/>
        </w:rPr>
      </w:pPr>
      <w:r w:rsidRPr="00AB6457">
        <w:rPr>
          <w:color w:val="FF0000"/>
          <w:sz w:val="24"/>
          <w:szCs w:val="24"/>
        </w:rPr>
        <w:t>Neskarot par mājsaimniecību radīto sadzīves atkritumu apsaimniekošanu atbildīgo pašva</w:t>
      </w:r>
      <w:r w:rsidR="00F02EEA">
        <w:rPr>
          <w:color w:val="FF0000"/>
          <w:sz w:val="24"/>
          <w:szCs w:val="24"/>
        </w:rPr>
        <w:t xml:space="preserve">ldību vai pašvaldību apvienību </w:t>
      </w:r>
      <w:r w:rsidRPr="00AB6457">
        <w:rPr>
          <w:color w:val="FF0000"/>
          <w:sz w:val="24"/>
          <w:szCs w:val="24"/>
        </w:rPr>
        <w:t>pienākumus saskaņā ar 2012. gada 21. marta likumu, pašvaldībām vai pašvaldību apvienībām ir jānodrošina atsevišķās savākšanas sistēmu pieejamība. Pašvaldībām vai pašvaldību apvienībām, attiecīgā gadījumā sadarbībā ar apstiprinātām struktūrām, ir jānodrošina publiskās infrastruktūras pieejamība un piekļūstamība, lai varētu atsevišķi savākt izlietoto iepakojumu no mājsaimniecībām, ļaujot gala turētājiem vismaz bez maksas nodot šo izlietoto iepakojumu.</w:t>
      </w:r>
    </w:p>
    <w:p w14:paraId="54386F43" w14:textId="77777777" w:rsidR="000147DB" w:rsidRPr="00AB6457" w:rsidRDefault="000147DB" w:rsidP="000147DB">
      <w:pPr>
        <w:spacing w:before="200" w:after="85" w:line="240" w:lineRule="auto"/>
        <w:ind w:left="375"/>
        <w:jc w:val="both"/>
        <w:rPr>
          <w:rFonts w:eastAsia="Calibri" w:cs="TimesNewRoman"/>
          <w:color w:val="FF0000"/>
          <w:sz w:val="24"/>
          <w:szCs w:val="24"/>
        </w:rPr>
      </w:pPr>
      <w:r w:rsidRPr="00AB6457">
        <w:rPr>
          <w:color w:val="FF0000"/>
          <w:sz w:val="24"/>
          <w:szCs w:val="24"/>
        </w:rPr>
        <w:t>Apstiprinātām struktūrām ir atļauts organizēt un izmantot alternatīvas vai papildinošas mājsaimniecību radītā izlietotā iepakojuma atpakaļnodošanas sistēmas, ar noteikumu, ka minētās sistēmas atbilst šā likuma mērķiem, nodrošinot tādu pašu teritoriālo pārklājumu kā sistēmas, kuras izveidojušas pašvaldības vai pašvaldību apvienības, un nodrošinot vismaz mājsaimniecību radītā izlietotā iepakojuma bezmaksas atpakaļnodošanu.</w:t>
      </w:r>
    </w:p>
    <w:p w14:paraId="1411304A" w14:textId="77777777" w:rsidR="000147DB" w:rsidRPr="00AB6457"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sidRPr="00AB6457">
        <w:rPr>
          <w:color w:val="FF0000"/>
          <w:sz w:val="24"/>
          <w:szCs w:val="24"/>
        </w:rPr>
        <w:t>Iepakojuma lietotājiem mājsaimniecībās ir jāizmanto atpakaļnodošanas sistēmas mājsaimniecību radītā izlietotā iepakojuma atsevišķai savākšanai, kuras viņiem nodrošina pašvaldības vai pašvaldību apvienības, vai apstiprinātās struktūras.</w:t>
      </w:r>
    </w:p>
    <w:p w14:paraId="72763D47" w14:textId="43754D27" w:rsidR="000147DB" w:rsidRPr="00AB6457" w:rsidRDefault="00832CA7"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szCs w:val="24"/>
        </w:rPr>
        <w:t>b</w:t>
      </w:r>
      <w:r w:rsidR="000147DB" w:rsidRPr="00AB6457">
        <w:rPr>
          <w:color w:val="FF0000"/>
          <w:sz w:val="24"/>
          <w:szCs w:val="24"/>
        </w:rPr>
        <w:t>) attiecībā uz ne-mājsaimniecību izlietoto iepakojumu:</w:t>
      </w:r>
    </w:p>
    <w:p w14:paraId="3D19C80D" w14:textId="77777777" w:rsidR="000147DB" w:rsidRPr="00AB6457"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sidRPr="00AB6457">
        <w:rPr>
          <w:color w:val="FF0000"/>
          <w:sz w:val="24"/>
          <w:szCs w:val="24"/>
        </w:rPr>
        <w:t>Ne-mājsaimniecību iepakojuma apsaimniekotāji nodrošina šo atkritumu savākšanu un reģenerāciju ražotāju paplašinātās atbildības režīma ietvaros, kā norādīts šā likuma 8. pantā.</w:t>
      </w:r>
    </w:p>
    <w:p w14:paraId="211C6CEC" w14:textId="165B29C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(3) Iestādes vai uzņēmumi, kas minēti </w:t>
      </w:r>
      <w:hyperlink r:id="rId4" w:history="1">
        <w:r w:rsidRPr="00AB6457">
          <w:rPr>
            <w:color w:val="FF0000"/>
            <w:sz w:val="24"/>
            <w:szCs w:val="24"/>
          </w:rPr>
          <w:t>2012. gada 21. marta likuma</w:t>
        </w:r>
      </w:hyperlink>
      <w:r w:rsidRPr="00AB6457">
        <w:rPr>
          <w:color w:val="FF0000"/>
          <w:sz w:val="24"/>
          <w:szCs w:val="24"/>
        </w:rPr>
        <w:t xml:space="preserve"> 30. panta 1. punktā, drīkst savākt vai pārvadāt izlietoto iepakojumu, kas ietilpst mājsaimniecību radītajos atkritumos, tikai tādā mērā, ciktāl tos šim nolūkam ir pilnvarojušas apstiprinātās struktūras.</w:t>
      </w:r>
    </w:p>
    <w:p w14:paraId="5A8B572D" w14:textId="03908A6C"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 (4) Cilvēku uzturā izmantojamu dzērienu iepakojumam, ko laiž Luksemburgas tirgū, piemēro vienotu valsts depozīta sistēmu. Depozīta summa mainās atkarībā no iepakojuma veida — no 10 eurocentiem līdz vienam euro. Depozīta sistēmas ieviešanas datumu un kārtību nosaka Lielhercogistes noteikumi. </w:t>
      </w:r>
    </w:p>
    <w:p w14:paraId="2E9C3117" w14:textId="77777777" w:rsidR="000147DB" w:rsidRPr="00AB6457" w:rsidRDefault="000147DB" w:rsidP="000147DB">
      <w:pPr>
        <w:spacing w:after="0" w:line="240" w:lineRule="auto"/>
        <w:jc w:val="both"/>
        <w:rPr>
          <w:rFonts w:eastAsia="Times New Roman" w:cs="Arial"/>
          <w:b/>
          <w:bCs/>
          <w:lang w:eastAsia="fr-FR"/>
        </w:rPr>
      </w:pPr>
    </w:p>
    <w:p w14:paraId="39140DBB" w14:textId="77777777" w:rsidR="000147DB" w:rsidRPr="00AB6457" w:rsidRDefault="000147DB" w:rsidP="000147DB">
      <w:pPr>
        <w:spacing w:after="0" w:line="240" w:lineRule="auto"/>
        <w:jc w:val="both"/>
        <w:rPr>
          <w:rFonts w:eastAsia="Times New Roman" w:cs="Arial"/>
          <w:b/>
          <w:bCs/>
          <w:lang w:eastAsia="fr-FR"/>
        </w:rPr>
      </w:pPr>
    </w:p>
    <w:p w14:paraId="515F989F" w14:textId="77777777" w:rsidR="000147DB" w:rsidRPr="00AB6457" w:rsidRDefault="000147DB" w:rsidP="000147DB">
      <w:pPr>
        <w:spacing w:after="0" w:line="240" w:lineRule="auto"/>
        <w:jc w:val="both"/>
        <w:rPr>
          <w:rFonts w:eastAsia="Times New Roman" w:cs="Arial"/>
          <w:strike/>
          <w:color w:val="FF0000"/>
          <w:lang w:eastAsia="fr-FR"/>
        </w:rPr>
      </w:pPr>
    </w:p>
    <w:p w14:paraId="5B6EF5DC" w14:textId="77777777" w:rsidR="000147DB" w:rsidRPr="00AB6457"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u w:val="single"/>
        </w:rPr>
        <w:lastRenderedPageBreak/>
        <w:t>8. pants. Iepakojuma apsaimniekotāji un apstiprinātās struktūras</w:t>
      </w:r>
    </w:p>
    <w:p w14:paraId="4ADADA8E"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 xml:space="preserve">(1) Lai izpildītu pienākumus, kas iepakojuma apsaimniekotājam uzlikti saskaņā ar šo likumu, kā arī tos, kas noteikti Likumā par dažu plastmasas izstrādājumu ietekmes uz vidi novērtējumu, iepakojuma apsaimniekotājam piemēro ražotāju paplašinātās atbildības režīmu, kas paredzēts 2012. gada 21. marta likuma 19. pantā. </w:t>
      </w:r>
    </w:p>
    <w:p w14:paraId="48FF4710" w14:textId="77777777" w:rsidR="000147DB" w:rsidRPr="00832CA7"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832CA7">
        <w:rPr>
          <w:color w:val="FF0000"/>
          <w:spacing w:val="-4"/>
          <w:sz w:val="24"/>
          <w:szCs w:val="24"/>
        </w:rPr>
        <w:t xml:space="preserve">Attiecībā uz atkārtoti izmantojamu mājsaimniecību iepakojumu, kam ir izveidota atpakaļnodošanas sistēma, pilnībā vai daļēji pildīt šo pienākumu var uzticēt apstiprinātai struktūrai, noslēdzot attiecīgu līgumu. Attiecībā uz citiem mājsaimniecību iepakojuma veidiem šā pienākuma izpilde ar līgumu ir jāuztic apstiprinātai struktūrai. Attiecībā uz ne-mājsaimniecību iepakojuma veidiem šā pienākuma izpilde ar līgumu ir pilnībā vai daļēji jāuztic apstiprinātai struktūrai. </w:t>
      </w:r>
    </w:p>
    <w:p w14:paraId="0456039D"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(2) Attiecībā uz izlietoto iepakojumu, kam ir izveidota centralizēta apsaimniekošanas kārtība, apstiprinātās struktūras katra savā kompetences jomā brīvprātīgi nodrošina atkritumu apsaimniekošanas finansēšanu, sākot no savākšanas vietas, tostarp atkārtotas izmantošanas sagatavošanas darbības.</w:t>
      </w:r>
    </w:p>
    <w:p w14:paraId="72D5467E"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Izlietotajam iepakojumam, ko neapsaimnieko centralizēti, apstiprināto struktūru finansiālās intervences nosacījumus attiecībā uz šo atkritumu atsevišķo savākšanu nosaka, minētajām struktūrām un attiecīgajām pašvaldībām savstarpēji vienojoties. Visas izmaksas, ko rada atkritumu apsaimniekošana, tostarp sagatavošana atkārtotai izmantošanai, jāsedz iepakojuma apsaimniekotājiem.</w:t>
      </w:r>
    </w:p>
    <w:p w14:paraId="7AFE5345" w14:textId="77777777" w:rsidR="000147DB" w:rsidRPr="00AB6457"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(3) Turklāt apstiprinātajai struktūrai ir pienākums:</w:t>
      </w:r>
    </w:p>
    <w:p w14:paraId="09CD75E1" w14:textId="77777777" w:rsidR="000147DB" w:rsidRPr="00832CA7"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832CA7">
        <w:rPr>
          <w:color w:val="FF0000"/>
          <w:spacing w:val="-4"/>
          <w:sz w:val="24"/>
          <w:szCs w:val="24"/>
        </w:rPr>
        <w:t>1. aprēķināt savu darbuzņēmēju iemaksas, lai finansētu esošās savākšanas kārtības radītās izmaksas un izveidotu, pamatojoties uz savāktā izlietotā iepakojuma šķirošanu, sagatavošanas darbības izlietotā iepakojuma atkārtotai izmantošanai un apstrādei, kā arī izmaksas, ko rada atkritumu turētāju informēšana un šīs informācijas pārsūtīšana un vākšana. Izmaksas, kuras ņem vērā, nedrīkst pārsniegt tās izmaksas, kas vajadzīgas ekonomiski efektīvai pakalpojuma sniegšanai;</w:t>
      </w:r>
    </w:p>
    <w:p w14:paraId="2A2FFD4D"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 xml:space="preserve">2. noslēgt līgumus ar pašvaldībām vai pašvaldību apvienībām, kas atbildīgas par mājsaimniecību radīto sadzīves atkritumu apsaimniekošanu, jo īpaši paredzot tehniskos nosacījumus un procedūras attiecīgā izlietotā iepakojuma savākšanai un izlietotā iepakojuma apsaimniekošanai. </w:t>
      </w:r>
    </w:p>
    <w:p w14:paraId="0E152E2B" w14:textId="77777777" w:rsidR="000147DB" w:rsidRPr="00AB6457" w:rsidRDefault="000147DB" w:rsidP="000147DB">
      <w:pPr>
        <w:shd w:val="clear" w:color="auto" w:fill="FFFFFF"/>
        <w:spacing w:before="100" w:beforeAutospacing="1" w:after="0" w:line="240" w:lineRule="auto"/>
        <w:jc w:val="both"/>
        <w:rPr>
          <w:rFonts w:eastAsia="Calibri" w:cs="TimesNewRoman"/>
          <w:color w:val="FF0000"/>
          <w:sz w:val="24"/>
          <w:szCs w:val="24"/>
        </w:rPr>
      </w:pPr>
      <w:r w:rsidRPr="00AB6457">
        <w:rPr>
          <w:color w:val="FF0000"/>
          <w:sz w:val="24"/>
          <w:szCs w:val="24"/>
        </w:rPr>
        <w:t>Šādi līgumi nekādā gadījumā nedrīkst ierobežot to pašvaldību vai pašvaldību apvienību kompetences, kas atbildīgas par mājsaimniecību radīto sadzīves atkritumu apsaimniekošanu;</w:t>
      </w:r>
    </w:p>
    <w:p w14:paraId="5D98EE21"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 xml:space="preserve">3. informēt ministru katru gadu un tā ziņojuma ietvaros, kas minēts 2012. gada 21. marta likuma 35. panta 2. punktā, par līgumiem, kuri noslēgti ar pašvaldībām vai pašvaldību apvienībām, kas atbildīgas par mājsaimniecību radīto sadzīves atkritumu apsaimniekošanu. </w:t>
      </w:r>
    </w:p>
    <w:p w14:paraId="4EF43EE8" w14:textId="77777777"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lastRenderedPageBreak/>
        <w:t>(4) Izlietotā iepakojuma apsaimniekošana jāveic saskaņā ar atkritumu hierarhiju, kas minēta 2012. gada 21. marta likuma 9. pantā. </w:t>
      </w:r>
    </w:p>
    <w:p w14:paraId="0B1E18BC" w14:textId="77777777" w:rsidR="000147DB" w:rsidRPr="00AB6457" w:rsidRDefault="000147DB" w:rsidP="000147DB">
      <w:pPr>
        <w:spacing w:after="0" w:line="240" w:lineRule="auto"/>
        <w:jc w:val="both"/>
        <w:rPr>
          <w:rFonts w:eastAsia="Times New Roman" w:cs="Arial"/>
          <w:strike/>
          <w:color w:val="FF0000"/>
          <w:lang w:eastAsia="fr-FR"/>
        </w:rPr>
      </w:pPr>
    </w:p>
    <w:p w14:paraId="1CA79E98" w14:textId="77777777" w:rsidR="000147DB" w:rsidRPr="00AB6457" w:rsidRDefault="000147DB" w:rsidP="000147DB">
      <w:pPr>
        <w:spacing w:after="0" w:line="240" w:lineRule="auto"/>
        <w:jc w:val="both"/>
        <w:rPr>
          <w:rFonts w:eastAsia="Times New Roman" w:cs="Arial"/>
          <w:strike/>
          <w:color w:val="FF0000"/>
          <w:lang w:eastAsia="fr-FR"/>
        </w:rPr>
      </w:pPr>
    </w:p>
    <w:p w14:paraId="657BECD5" w14:textId="77777777" w:rsidR="000147DB" w:rsidRPr="00AB6457" w:rsidRDefault="000147DB" w:rsidP="000147DB">
      <w:pPr>
        <w:spacing w:after="0" w:line="240" w:lineRule="auto"/>
        <w:jc w:val="both"/>
        <w:rPr>
          <w:rFonts w:eastAsia="Times New Roman" w:cs="Arial"/>
          <w:strike/>
          <w:color w:val="FF0000"/>
          <w:lang w:eastAsia="fr-FR"/>
        </w:rPr>
      </w:pPr>
    </w:p>
    <w:p w14:paraId="5E398962" w14:textId="77777777" w:rsidR="000147DB" w:rsidRPr="00AB6457" w:rsidRDefault="000147DB" w:rsidP="002F5A31">
      <w:pPr>
        <w:keepNext/>
        <w:keepLines/>
        <w:spacing w:after="0" w:line="240" w:lineRule="auto"/>
        <w:jc w:val="both"/>
        <w:rPr>
          <w:rFonts w:eastAsia="Times New Roman" w:cs="Arial"/>
        </w:rPr>
      </w:pPr>
      <w:r w:rsidRPr="00AB6457">
        <w:rPr>
          <w:b/>
          <w:bCs/>
        </w:rPr>
        <w:t>9. pants. Pamatprasības</w:t>
      </w:r>
    </w:p>
    <w:p w14:paraId="605864EB" w14:textId="77777777" w:rsidR="000147DB" w:rsidRPr="00AB6457" w:rsidRDefault="000147DB" w:rsidP="000147DB">
      <w:pPr>
        <w:spacing w:after="0" w:line="240" w:lineRule="auto"/>
        <w:jc w:val="both"/>
        <w:rPr>
          <w:rFonts w:eastAsia="Times New Roman" w:cs="Arial"/>
        </w:rPr>
      </w:pPr>
      <w:r w:rsidRPr="00AB6457">
        <w:t>Iepakojumu drīkst laist Luksemburgas tirgū tikai tad, kad tas atbilst visām I pielikumā norādītajām pamatprasībām.</w:t>
      </w:r>
    </w:p>
    <w:p w14:paraId="3A246FED" w14:textId="77777777" w:rsidR="000147DB" w:rsidRPr="00AB6457" w:rsidRDefault="000147DB" w:rsidP="000147DB">
      <w:pPr>
        <w:spacing w:after="0" w:line="240" w:lineRule="auto"/>
        <w:jc w:val="both"/>
        <w:rPr>
          <w:rFonts w:eastAsia="Times New Roman" w:cs="Arial"/>
          <w:lang w:eastAsia="fr-FR"/>
        </w:rPr>
      </w:pPr>
    </w:p>
    <w:p w14:paraId="22E6A7CC" w14:textId="77777777" w:rsidR="000147DB" w:rsidRPr="00AB6457" w:rsidRDefault="000147DB" w:rsidP="002F5A31">
      <w:pPr>
        <w:keepNext/>
        <w:keepLines/>
        <w:spacing w:after="0" w:line="240" w:lineRule="auto"/>
        <w:jc w:val="both"/>
        <w:rPr>
          <w:rFonts w:eastAsia="Times New Roman" w:cs="Arial"/>
          <w:b/>
          <w:bCs/>
          <w:iCs/>
        </w:rPr>
      </w:pPr>
      <w:r w:rsidRPr="00AB6457">
        <w:rPr>
          <w:b/>
          <w:bCs/>
        </w:rPr>
        <w:t xml:space="preserve">10. pants. </w:t>
      </w:r>
      <w:r w:rsidRPr="00AB6457">
        <w:rPr>
          <w:b/>
          <w:bCs/>
          <w:iCs/>
        </w:rPr>
        <w:t>Identifikācijas sistēma</w:t>
      </w:r>
    </w:p>
    <w:p w14:paraId="05C008A4" w14:textId="77777777" w:rsidR="000147DB" w:rsidRPr="00AB6457" w:rsidRDefault="000147DB" w:rsidP="002F5A31">
      <w:pPr>
        <w:keepNext/>
        <w:keepLines/>
        <w:spacing w:after="0" w:line="240" w:lineRule="auto"/>
        <w:jc w:val="both"/>
        <w:rPr>
          <w:rFonts w:eastAsia="Times New Roman" w:cs="Arial"/>
          <w:b/>
          <w:bCs/>
          <w:iCs/>
          <w:lang w:eastAsia="fr-FR"/>
        </w:rPr>
      </w:pPr>
    </w:p>
    <w:p w14:paraId="331832A7" w14:textId="77777777" w:rsidR="000147DB" w:rsidRPr="00AB6457" w:rsidRDefault="000147DB" w:rsidP="002F5A31">
      <w:pPr>
        <w:keepNext/>
        <w:keepLines/>
        <w:spacing w:after="0" w:line="240" w:lineRule="auto"/>
        <w:jc w:val="both"/>
        <w:rPr>
          <w:rFonts w:eastAsia="Times New Roman" w:cs="Arial"/>
          <w:b/>
          <w:lang w:eastAsia="fr-FR"/>
        </w:rPr>
      </w:pPr>
    </w:p>
    <w:p w14:paraId="425BF78D" w14:textId="77777777" w:rsidR="000147DB" w:rsidRPr="00AB6457" w:rsidRDefault="000147DB" w:rsidP="002F5A31">
      <w:pPr>
        <w:keepNext/>
        <w:keepLines/>
        <w:spacing w:after="0" w:line="240" w:lineRule="auto"/>
        <w:jc w:val="both"/>
        <w:rPr>
          <w:rFonts w:eastAsia="Times New Roman" w:cs="Arial"/>
          <w:lang w:eastAsia="fr-FR"/>
        </w:rPr>
      </w:pPr>
    </w:p>
    <w:p w14:paraId="5D34AF9E" w14:textId="38F1F05F" w:rsidR="000147DB" w:rsidRPr="00AB6457" w:rsidRDefault="000147DB" w:rsidP="000147DB">
      <w:pPr>
        <w:spacing w:beforeLines="100" w:before="240" w:after="240" w:line="240" w:lineRule="auto"/>
        <w:jc w:val="both"/>
        <w:rPr>
          <w:rFonts w:eastAsia="Calibri" w:cs="TimesNewRoman"/>
          <w:color w:val="FF0000"/>
          <w:sz w:val="24"/>
          <w:szCs w:val="24"/>
        </w:rPr>
      </w:pPr>
      <w:r w:rsidRPr="00AB6457">
        <w:rPr>
          <w:color w:val="FF0000"/>
          <w:sz w:val="24"/>
          <w:szCs w:val="24"/>
        </w:rPr>
        <w:t>(1) Lai atvieglotu savākšanu, atkalizmantošanu, sagatavošanu atkārtotai izmantošanai un reģenerāciju, tostarp reciklēšanu, uz iepakojuma norāda izmantotā(-o) iepakojuma(-u) materiāla(-u) veidu, lai attiecīgā nozare varētu to identificēt un klasificēt, pamatojoties uz Komisijas Lēmumu (1997. gada 28. janvāris), ar ko izveido iepakojuma materiālu identifikācijas sistēmu saskaņā ar Eiropas Parlamenta un Padomes Direktīvu 94/62/EK par iepakojumu un izlietoto iepakojumu. </w:t>
      </w:r>
    </w:p>
    <w:p w14:paraId="4942209B" w14:textId="77777777" w:rsidR="000147DB" w:rsidRPr="00AB6457" w:rsidRDefault="000147DB" w:rsidP="000147DB">
      <w:pPr>
        <w:spacing w:after="0" w:line="240" w:lineRule="auto"/>
        <w:jc w:val="both"/>
        <w:rPr>
          <w:rFonts w:eastAsia="Times New Roman" w:cs="Arial"/>
          <w:lang w:eastAsia="fr-FR"/>
        </w:rPr>
      </w:pPr>
    </w:p>
    <w:p w14:paraId="08E9BCD8" w14:textId="77777777" w:rsidR="000147DB" w:rsidRPr="00AB6457" w:rsidRDefault="000147DB" w:rsidP="000147DB">
      <w:pPr>
        <w:spacing w:after="0" w:line="240" w:lineRule="auto"/>
        <w:jc w:val="both"/>
        <w:rPr>
          <w:rFonts w:eastAsia="Times New Roman" w:cs="Arial"/>
        </w:rPr>
      </w:pPr>
      <w:r w:rsidRPr="00AB6457">
        <w:t>(2) Ja nepieciešams, ar atbilstošu marķējumu marķē vai nu pašu iepakojumu, vai etiķeti. Tam jābūt skaidri saskatāmam un viegli salasāmam. Marķējumam jābūt ar atbilstošu saglabāšanās termiņu, tostarp atvērta iepakojuma gadījumā.</w:t>
      </w:r>
    </w:p>
    <w:p w14:paraId="09FE587A" w14:textId="77777777" w:rsidR="000147DB" w:rsidRPr="00AB6457" w:rsidRDefault="000147DB" w:rsidP="000147DB">
      <w:pPr>
        <w:spacing w:after="0" w:line="240" w:lineRule="auto"/>
        <w:jc w:val="both"/>
        <w:rPr>
          <w:rFonts w:eastAsia="Times New Roman" w:cs="Arial"/>
          <w:lang w:eastAsia="fr-FR"/>
        </w:rPr>
      </w:pPr>
    </w:p>
    <w:p w14:paraId="7D950806" w14:textId="77777777" w:rsidR="000147DB" w:rsidRPr="00AB6457" w:rsidRDefault="000147DB" w:rsidP="002F5A31">
      <w:pPr>
        <w:keepNext/>
        <w:keepLines/>
        <w:spacing w:after="0" w:line="240" w:lineRule="auto"/>
        <w:jc w:val="both"/>
        <w:rPr>
          <w:rFonts w:eastAsia="Times New Roman" w:cs="Arial"/>
          <w:b/>
          <w:color w:val="000000"/>
        </w:rPr>
      </w:pPr>
      <w:r w:rsidRPr="00AB6457">
        <w:rPr>
          <w:b/>
          <w:color w:val="000000"/>
        </w:rPr>
        <w:t xml:space="preserve">11. pants. </w:t>
      </w:r>
      <w:r w:rsidRPr="00AB6457">
        <w:rPr>
          <w:b/>
          <w:iCs/>
          <w:color w:val="000000"/>
        </w:rPr>
        <w:t>Smago metālu koncentrācijas līmeņi iepakojumā</w:t>
      </w:r>
    </w:p>
    <w:p w14:paraId="5961C7DD" w14:textId="77777777" w:rsidR="000147DB" w:rsidRPr="00AB6457" w:rsidRDefault="000147DB" w:rsidP="000147DB">
      <w:pPr>
        <w:spacing w:after="0" w:line="240" w:lineRule="auto"/>
        <w:jc w:val="both"/>
        <w:rPr>
          <w:rFonts w:eastAsia="Times New Roman" w:cs="Arial"/>
          <w:color w:val="000000"/>
        </w:rPr>
      </w:pPr>
      <w:r w:rsidRPr="00AB6457">
        <w:rPr>
          <w:color w:val="000000"/>
        </w:rPr>
        <w:t>(1) Svina, kadmija, dzīvsudraba un sešvērtīgā hroma koncentrācijas līmeņu summa iepakojumā vai tā daļās nedrīkst pārsniegt 100 ppm pēc svara.</w:t>
      </w:r>
    </w:p>
    <w:p w14:paraId="173D4287" w14:textId="77777777" w:rsidR="000147DB" w:rsidRPr="00832CA7" w:rsidRDefault="000147DB" w:rsidP="000147DB">
      <w:pPr>
        <w:spacing w:after="0" w:line="240" w:lineRule="auto"/>
        <w:jc w:val="both"/>
        <w:rPr>
          <w:rFonts w:eastAsia="Times New Roman" w:cs="Arial"/>
          <w:color w:val="000000"/>
          <w:spacing w:val="-4"/>
        </w:rPr>
      </w:pPr>
      <w:r w:rsidRPr="00832CA7">
        <w:rPr>
          <w:color w:val="000000"/>
          <w:spacing w:val="-4"/>
        </w:rPr>
        <w:t>(2) Koncentrācijas līmeņi, kas minēti 1. punktā, neattiecas uz iepakojumu, kas pilnībā sastāv no kristāliska stikla.</w:t>
      </w:r>
    </w:p>
    <w:p w14:paraId="242DF555" w14:textId="77777777" w:rsidR="000147DB" w:rsidRPr="00AB6457" w:rsidRDefault="000147DB" w:rsidP="000147DB">
      <w:pPr>
        <w:spacing w:after="0" w:line="240" w:lineRule="auto"/>
        <w:jc w:val="both"/>
        <w:rPr>
          <w:rFonts w:eastAsia="Times New Roman" w:cs="Arial"/>
          <w:lang w:eastAsia="fr-FR"/>
        </w:rPr>
      </w:pPr>
    </w:p>
    <w:p w14:paraId="122991E0" w14:textId="77777777" w:rsidR="000147DB" w:rsidRPr="00AB6457" w:rsidRDefault="000147DB" w:rsidP="002F5A31">
      <w:pPr>
        <w:keepNext/>
        <w:keepLines/>
        <w:spacing w:after="0" w:line="240" w:lineRule="auto"/>
        <w:jc w:val="both"/>
        <w:rPr>
          <w:rFonts w:eastAsia="Times New Roman" w:cs="Arial"/>
          <w:b/>
        </w:rPr>
      </w:pPr>
      <w:r w:rsidRPr="00AB6457">
        <w:rPr>
          <w:b/>
        </w:rPr>
        <w:t>12. pants. Informācijas sistēmas</w:t>
      </w:r>
    </w:p>
    <w:p w14:paraId="5FCE099A" w14:textId="77777777" w:rsidR="000147DB" w:rsidRPr="00832CA7" w:rsidRDefault="000147DB" w:rsidP="000147DB">
      <w:pPr>
        <w:spacing w:after="0" w:line="240" w:lineRule="auto"/>
        <w:jc w:val="both"/>
        <w:rPr>
          <w:rFonts w:eastAsia="Times New Roman" w:cs="Arial"/>
          <w:spacing w:val="-4"/>
        </w:rPr>
      </w:pPr>
      <w:r w:rsidRPr="00832CA7">
        <w:rPr>
          <w:spacing w:val="-4"/>
        </w:rPr>
        <w:t>(1) Datubāzes, kas uzskaitītas III pielikumā 1994. gada 20. decembra Eiropas Parlamenta un Padomes Direktīvai 94/62/EK par iepakojumu un izlietoto iepakojumu, kurā grozījumi izdarīti ar Eiropas Komisijas aktiem, kas pieņemti saskaņā ar minētās direktīvas 19. pantu, pārvalda Vides aizsardzības pārvalde. Tās nodrošina informāciju par iepakojuma un izlietotā iepakojuma plūsmas lielumu, īpašībām un tendencēm, tostarp informāciju par iepakojuma materiālu un to ražošanā izmantoto elementu toksisko vai bīstamo raksturu.</w:t>
      </w:r>
    </w:p>
    <w:p w14:paraId="7E5340DE" w14:textId="77777777" w:rsidR="000147DB" w:rsidRPr="00AB6457" w:rsidRDefault="000147DB" w:rsidP="000147DB">
      <w:pPr>
        <w:spacing w:after="0" w:line="240" w:lineRule="auto"/>
        <w:jc w:val="both"/>
        <w:rPr>
          <w:rFonts w:eastAsia="Times New Roman" w:cs="Arial"/>
        </w:rPr>
      </w:pPr>
      <w:r w:rsidRPr="00AB6457">
        <w:t>(2) Attiecīgajiem ekonomikas dalībniekiem jāiesniedz Vides aizsardzības pārvaldei ticami dati par savu nozari, kas ir nepieciešami saskaņā ar šo pantu. Vides aizsardzības pārvalde ņem vērā īpašās problēmas, ar kurām saskaras mazie un vidējie uzņēmumi, sniedzot detalizētus datus.</w:t>
      </w:r>
    </w:p>
    <w:p w14:paraId="5AEC8260" w14:textId="77777777" w:rsidR="000147DB" w:rsidRPr="00AB6457" w:rsidRDefault="000147DB" w:rsidP="000147DB">
      <w:pPr>
        <w:spacing w:after="0" w:line="240" w:lineRule="auto"/>
        <w:jc w:val="both"/>
        <w:rPr>
          <w:rFonts w:eastAsia="Times New Roman" w:cs="Arial"/>
          <w:lang w:eastAsia="fr-FR"/>
        </w:rPr>
      </w:pPr>
    </w:p>
    <w:p w14:paraId="3E529549" w14:textId="77777777" w:rsidR="000147DB" w:rsidRPr="00AB6457" w:rsidRDefault="000147DB" w:rsidP="000147DB">
      <w:pPr>
        <w:spacing w:after="0" w:line="240" w:lineRule="auto"/>
        <w:jc w:val="both"/>
        <w:rPr>
          <w:rFonts w:eastAsia="Times New Roman" w:cs="Arial"/>
          <w:lang w:eastAsia="fr-FR"/>
        </w:rPr>
      </w:pPr>
    </w:p>
    <w:p w14:paraId="0135E764" w14:textId="77777777" w:rsidR="000147DB" w:rsidRPr="00AB6457" w:rsidRDefault="000147DB" w:rsidP="002F5A31">
      <w:pPr>
        <w:keepNext/>
        <w:keepLines/>
        <w:spacing w:after="0" w:line="240" w:lineRule="auto"/>
        <w:jc w:val="both"/>
        <w:rPr>
          <w:rFonts w:eastAsia="Times New Roman" w:cs="Arial"/>
        </w:rPr>
      </w:pPr>
      <w:r w:rsidRPr="00AB6457">
        <w:rPr>
          <w:b/>
          <w:bCs/>
        </w:rPr>
        <w:t xml:space="preserve">14. pants. </w:t>
      </w:r>
      <w:r w:rsidRPr="00AB6457">
        <w:rPr>
          <w:b/>
          <w:bCs/>
          <w:iCs/>
        </w:rPr>
        <w:t>Informācija iepakojuma lietotājiem</w:t>
      </w:r>
    </w:p>
    <w:p w14:paraId="0BFAA0F4" w14:textId="77777777" w:rsidR="000147DB" w:rsidRPr="00AB6457" w:rsidRDefault="000147DB" w:rsidP="000147DB">
      <w:pPr>
        <w:spacing w:after="0" w:line="240" w:lineRule="auto"/>
        <w:jc w:val="both"/>
        <w:rPr>
          <w:rFonts w:eastAsia="Times New Roman" w:cs="Arial"/>
        </w:rPr>
      </w:pPr>
      <w:r w:rsidRPr="00AB6457">
        <w:t>(1) Iepakojuma apsaimniekotājiem vai apstiprinātajām struktūrām katrai savā kompetences jomā jāinformē iepakojuma lietotāji, tostarp patērētāji, par:</w:t>
      </w:r>
    </w:p>
    <w:p w14:paraId="28FD57E8" w14:textId="77777777" w:rsidR="000147DB" w:rsidRPr="00AB6457" w:rsidRDefault="000147DB" w:rsidP="000147DB">
      <w:pPr>
        <w:spacing w:after="0" w:line="240" w:lineRule="auto"/>
        <w:jc w:val="both"/>
        <w:rPr>
          <w:rFonts w:eastAsia="Times New Roman" w:cs="Arial"/>
        </w:rPr>
      </w:pPr>
      <w:r w:rsidRPr="00AB6457">
        <w:t>izlietotā iepakojuma novēršanas iespējām;</w:t>
      </w:r>
    </w:p>
    <w:p w14:paraId="1A222528" w14:textId="77777777" w:rsidR="000147DB" w:rsidRPr="00AB6457" w:rsidRDefault="000147DB" w:rsidP="000147DB">
      <w:pPr>
        <w:spacing w:after="0" w:line="240" w:lineRule="auto"/>
        <w:jc w:val="both"/>
        <w:rPr>
          <w:rFonts w:eastAsia="Times New Roman" w:cs="Arial"/>
        </w:rPr>
      </w:pPr>
      <w:r w:rsidRPr="00AB6457">
        <w:lastRenderedPageBreak/>
        <w:t>viņiem pieejamām atgriešanas, savākšanas un reģenerācijas sistēmām un viņu ieguldījumu iepakojuma un izlietotā iepakojuma atkārtotā izmantošanā, reģenerācijā un reciklēšanā;</w:t>
      </w:r>
    </w:p>
    <w:p w14:paraId="2AF81E67" w14:textId="77777777" w:rsidR="000147DB" w:rsidRPr="00AB6457" w:rsidRDefault="000147DB" w:rsidP="000147DB">
      <w:pPr>
        <w:spacing w:after="0" w:line="240" w:lineRule="auto"/>
        <w:jc w:val="both"/>
        <w:rPr>
          <w:rFonts w:eastAsia="Times New Roman" w:cs="Arial"/>
        </w:rPr>
      </w:pPr>
      <w:r w:rsidRPr="00AB6457">
        <w:t>plastmasas maisiņu pārmērīga patēriņa negatīvo ietekmi uz vidi;</w:t>
      </w:r>
    </w:p>
    <w:p w14:paraId="0BB30D5B" w14:textId="77777777" w:rsidR="000147DB" w:rsidRPr="00AB6457" w:rsidRDefault="000147DB" w:rsidP="000147DB">
      <w:pPr>
        <w:spacing w:after="0" w:line="240" w:lineRule="auto"/>
        <w:jc w:val="both"/>
        <w:rPr>
          <w:rFonts w:eastAsia="Times New Roman" w:cs="Arial"/>
        </w:rPr>
      </w:pPr>
      <w:r w:rsidRPr="00AB6457">
        <w:t>iepakojuma un izlietotā iepakojuma apsaimniekošanas plānu atbilstošiem elementiem, kas vai nu ir paredzēti valsts atkritumu apsaimniekošanas plānā, vai uz kuriem attiecas īpašs plāns saskaņā ar 2012. gada 21. marta likumu.</w:t>
      </w:r>
    </w:p>
    <w:p w14:paraId="6F14132A" w14:textId="77777777" w:rsidR="000147DB" w:rsidRPr="00AB6457" w:rsidRDefault="000147DB" w:rsidP="000147DB">
      <w:pPr>
        <w:spacing w:after="0" w:line="240" w:lineRule="auto"/>
        <w:jc w:val="both"/>
        <w:rPr>
          <w:rFonts w:eastAsia="Times New Roman" w:cs="Arial"/>
          <w:color w:val="FF0000"/>
          <w:lang w:eastAsia="fr-FR"/>
        </w:rPr>
      </w:pPr>
    </w:p>
    <w:p w14:paraId="7030362B" w14:textId="51AC38F2" w:rsidR="000147DB" w:rsidRPr="00AB6457" w:rsidRDefault="000147DB" w:rsidP="000147DB">
      <w:pPr>
        <w:spacing w:after="0" w:line="240" w:lineRule="auto"/>
        <w:jc w:val="both"/>
        <w:rPr>
          <w:rFonts w:eastAsia="Times New Roman" w:cs="Arial"/>
        </w:rPr>
      </w:pPr>
      <w:r w:rsidRPr="00AB6457">
        <w:t>(2) Personas, kas laiž tirdzniecībā iepakotus produktus, nodrošina, ka galapatērētājs tiek attiecīgi informēts tirdzniecības vietās par iepakojuma atkārtoti izmantojamo vai reģenerējamo, tostarp reciklējamo, raksturu un par atpakaļnodošanas sistēmu, tostarp jo īpaši par iepakojuma savākšanu.</w:t>
      </w:r>
    </w:p>
    <w:p w14:paraId="049AF441"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Ar atbilstošu marķējumu marķē vai nu pašu iepakojumu, vai etiķeti. Tam jābūt skaidri saskatāmam un viegli salasāmam. Marķējumam jābūt ar atbilstošu saglabāšanās termiņu, tostarp atvērta iepakojuma gadījumā. </w:t>
      </w:r>
    </w:p>
    <w:p w14:paraId="479912FE" w14:textId="77777777" w:rsidR="000147DB" w:rsidRPr="00AB6457" w:rsidRDefault="000147DB" w:rsidP="000147DB">
      <w:pPr>
        <w:spacing w:after="0" w:line="240" w:lineRule="auto"/>
        <w:jc w:val="both"/>
        <w:rPr>
          <w:rFonts w:eastAsia="Times New Roman" w:cs="Arial"/>
          <w:lang w:eastAsia="fr-FR"/>
        </w:rPr>
      </w:pPr>
    </w:p>
    <w:p w14:paraId="567A68A6" w14:textId="77777777" w:rsidR="000147DB" w:rsidRPr="00AB6457" w:rsidRDefault="000147DB" w:rsidP="000147DB">
      <w:pPr>
        <w:spacing w:after="0" w:line="240" w:lineRule="auto"/>
        <w:jc w:val="both"/>
        <w:rPr>
          <w:rFonts w:eastAsia="Times New Roman" w:cs="Arial"/>
        </w:rPr>
      </w:pPr>
      <w:r w:rsidRPr="00AB6457">
        <w:t>(3) Informēšanas pasākumus, kas minēti 1. un 2. punktā, vajadzības gadījumā papildina ar izpratnes veicināšanas kampaņām, ko veic sadarbībā ar Vides aizsardzības pārvaldi.</w:t>
      </w:r>
    </w:p>
    <w:p w14:paraId="310D81FF" w14:textId="77777777" w:rsidR="000147DB" w:rsidRPr="00AB6457" w:rsidRDefault="000147DB" w:rsidP="000147DB">
      <w:pPr>
        <w:spacing w:after="0" w:line="240" w:lineRule="auto"/>
        <w:jc w:val="both"/>
        <w:rPr>
          <w:rFonts w:eastAsia="Times New Roman" w:cs="Arial"/>
          <w:lang w:eastAsia="fr-FR"/>
        </w:rPr>
      </w:pPr>
    </w:p>
    <w:p w14:paraId="6E40D75F" w14:textId="77777777" w:rsidR="000147DB" w:rsidRPr="00AB6457" w:rsidRDefault="000147DB" w:rsidP="000147DB">
      <w:pPr>
        <w:spacing w:after="0" w:line="240" w:lineRule="auto"/>
        <w:jc w:val="both"/>
        <w:rPr>
          <w:rFonts w:eastAsia="Times New Roman" w:cs="Arial"/>
          <w:lang w:eastAsia="fr-FR"/>
        </w:rPr>
      </w:pPr>
    </w:p>
    <w:p w14:paraId="48933925" w14:textId="77777777" w:rsidR="000147DB" w:rsidRPr="00AB6457" w:rsidRDefault="000147DB" w:rsidP="000147DB">
      <w:pPr>
        <w:spacing w:after="0" w:line="240" w:lineRule="auto"/>
        <w:jc w:val="both"/>
        <w:rPr>
          <w:rFonts w:eastAsia="Times New Roman" w:cs="Arial"/>
          <w:strike/>
          <w:color w:val="FF0000"/>
          <w:lang w:eastAsia="fr-FR"/>
        </w:rPr>
      </w:pPr>
    </w:p>
    <w:p w14:paraId="53040DFE" w14:textId="77777777" w:rsidR="000147DB" w:rsidRPr="00AB6457"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u w:val="single"/>
        </w:rPr>
        <w:t>15. pants. Ziņojumi</w:t>
      </w:r>
    </w:p>
    <w:p w14:paraId="5D99A309" w14:textId="77777777" w:rsidR="000147DB" w:rsidRPr="00AB6457" w:rsidRDefault="000147DB" w:rsidP="002F5A31">
      <w:pPr>
        <w:keepNext/>
        <w:keepLines/>
        <w:autoSpaceDE w:val="0"/>
        <w:autoSpaceDN w:val="0"/>
        <w:adjustRightInd w:val="0"/>
        <w:spacing w:after="0" w:line="240" w:lineRule="auto"/>
        <w:jc w:val="both"/>
        <w:rPr>
          <w:rFonts w:eastAsia="Calibri" w:cs="TimesNewRoman"/>
          <w:color w:val="FF0000"/>
          <w:sz w:val="24"/>
          <w:szCs w:val="24"/>
          <w:lang w:eastAsia="fr-BE"/>
        </w:rPr>
      </w:pPr>
    </w:p>
    <w:p w14:paraId="6A108156"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 xml:space="preserve">Katram iepakojuma apsaimniekotājam, kas ir laidis tirgū plānos plastmasas maisiņus, jāinformē apstiprinātā struktūra, kurai viņš ir piesaistīts, par šo maisiņu kopskaitu gadā. </w:t>
      </w:r>
    </w:p>
    <w:p w14:paraId="7B36C2F6" w14:textId="203BBF9C"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Apstiprinātajai struktūrai jāpaziņo šie daudzumi kompetentajai pārvaldei, iesniedzot ziņojumu, kas minēts 2012. gada 21. marta likuma 35. panta 2. punktā. Tas neattiecas uz īpaši plānajiem plastmasas maisiņiem 3. panta 17. punkta nozīmē. </w:t>
      </w:r>
    </w:p>
    <w:p w14:paraId="7EE24D00" w14:textId="77777777" w:rsidR="000147DB" w:rsidRPr="00AB6457" w:rsidRDefault="000147DB" w:rsidP="000147DB">
      <w:pPr>
        <w:spacing w:after="0" w:line="240" w:lineRule="auto"/>
        <w:jc w:val="both"/>
        <w:rPr>
          <w:rFonts w:eastAsia="Times New Roman" w:cs="Arial"/>
          <w:strike/>
          <w:color w:val="FF0000"/>
          <w:lang w:eastAsia="fr-FR"/>
        </w:rPr>
      </w:pPr>
    </w:p>
    <w:p w14:paraId="4AB10018" w14:textId="77777777" w:rsidR="000147DB" w:rsidRPr="00AB6457" w:rsidRDefault="000147DB" w:rsidP="00B972B3">
      <w:pPr>
        <w:keepNext/>
        <w:keepLines/>
        <w:spacing w:after="0" w:line="240" w:lineRule="auto"/>
        <w:jc w:val="both"/>
        <w:rPr>
          <w:rFonts w:eastAsia="Times New Roman" w:cs="Arial"/>
          <w:b/>
        </w:rPr>
      </w:pPr>
      <w:r w:rsidRPr="00AB6457">
        <w:rPr>
          <w:b/>
        </w:rPr>
        <w:t xml:space="preserve">16. pants. Veicamās pārbaudes </w:t>
      </w:r>
    </w:p>
    <w:p w14:paraId="035D85BE" w14:textId="77777777" w:rsidR="000147DB" w:rsidRPr="00AB6457" w:rsidRDefault="000147DB" w:rsidP="000147DB">
      <w:pPr>
        <w:spacing w:after="0" w:line="240" w:lineRule="auto"/>
        <w:jc w:val="both"/>
        <w:rPr>
          <w:rFonts w:eastAsia="Times New Roman" w:cs="Arial"/>
        </w:rPr>
      </w:pPr>
      <w:r w:rsidRPr="00AB6457">
        <w:t>(1) Gada ziņojums tiek pārbaudīts saskaņā ar 2012. gada 21. marta likuma 35. panta 2. punkta noteikumiem.</w:t>
      </w:r>
    </w:p>
    <w:p w14:paraId="35E08884" w14:textId="77777777" w:rsidR="000147DB" w:rsidRPr="00AB6457" w:rsidRDefault="000147DB" w:rsidP="000147DB">
      <w:pPr>
        <w:spacing w:after="0" w:line="240" w:lineRule="auto"/>
        <w:jc w:val="both"/>
        <w:rPr>
          <w:rFonts w:eastAsia="Times New Roman" w:cs="Arial"/>
        </w:rPr>
      </w:pPr>
      <w:r w:rsidRPr="00AB6457">
        <w:t>Kontroles nolūkos iepakojuma apsaimniekotājiem vai apstiprinātām struktūrām ir pienākums apstiprinātam uzņēmumu revidentam darīt pieejamus visus grāmatvedības un citus dokumentus, kā arī aprēķinu elementus, kas izmantoti par pamatu minētajiem ziņojumiem.</w:t>
      </w:r>
    </w:p>
    <w:p w14:paraId="01E1F62A" w14:textId="77777777" w:rsidR="000147DB" w:rsidRPr="00AB6457" w:rsidRDefault="000147DB" w:rsidP="000147DB">
      <w:pPr>
        <w:spacing w:after="0" w:line="240" w:lineRule="auto"/>
        <w:jc w:val="both"/>
        <w:rPr>
          <w:rFonts w:eastAsia="Times New Roman" w:cs="Arial"/>
        </w:rPr>
      </w:pPr>
      <w:r w:rsidRPr="00AB6457">
        <w:t>Atlīdzību par apstiprinātā uzņēmumu revidenta veikto revīziju sedz iepakojuma apsaimniekotāji vai apstiprinātās struktūras.</w:t>
      </w:r>
    </w:p>
    <w:p w14:paraId="54AD644D" w14:textId="77777777" w:rsidR="000147DB" w:rsidRPr="00AB6457" w:rsidRDefault="000147DB" w:rsidP="000147DB">
      <w:pPr>
        <w:spacing w:after="0" w:line="240" w:lineRule="auto"/>
        <w:jc w:val="both"/>
        <w:rPr>
          <w:rFonts w:eastAsia="Times New Roman" w:cs="Arial"/>
        </w:rPr>
      </w:pPr>
      <w:r w:rsidRPr="00AB6457">
        <w:t>(2) Apstiprinātā uzņēmumu revidenta veiktās revīzijas rezultāti uzņēmumu revidentam nekavējoties jānosūta Vides aizsardzības pārvaldei.</w:t>
      </w:r>
    </w:p>
    <w:p w14:paraId="1AEDBCE9" w14:textId="77777777" w:rsidR="000147DB" w:rsidRPr="00AB6457" w:rsidRDefault="000147DB" w:rsidP="000147DB">
      <w:pPr>
        <w:spacing w:after="0" w:line="240" w:lineRule="auto"/>
        <w:jc w:val="both"/>
        <w:rPr>
          <w:rFonts w:eastAsia="Times New Roman" w:cs="Arial"/>
          <w:b/>
          <w:bCs/>
          <w:lang w:eastAsia="fr-FR"/>
        </w:rPr>
      </w:pPr>
    </w:p>
    <w:p w14:paraId="2D750672" w14:textId="5CE5F3A0"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sidRPr="00AB6457">
        <w:rPr>
          <w:color w:val="FF0000"/>
          <w:sz w:val="24"/>
          <w:szCs w:val="24"/>
          <w:u w:val="single"/>
        </w:rPr>
        <w:t>17. pants. Pārkāpumu izmeklēšana un konstatēšana</w:t>
      </w:r>
    </w:p>
    <w:p w14:paraId="7D85080C"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73929CE2"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(1) Papildus Lielhercogistes policijas darbiniekiem, kuri veic policijas izmeklēšanu, arī Muitas un akcīzes preču pārvaldes darbiniekiem, sākot no galvenā brigadiera līmeņa, kā arī Vides aizsardzības pārvaldes A1, A2 un B1 izmeklēšanas grupu ierēdņiem un darbiniekiem, var uzdot izmeklēt šā likuma un tā izpildes noteikumu pārkāpumus.</w:t>
      </w:r>
    </w:p>
    <w:p w14:paraId="5A9972ED"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lastRenderedPageBreak/>
        <w:t>Pildot amata pienākumus, Muitas un akcīzes preču pārvaldes darbiniekiem un Vides aizsardzības pārvaldes darbiniekiem ir kriminālpolicijas darbinieku statuss. Viņi konstatē pārkāpumus, sastādot protokolus, līdz tiek pierādīts pretējais.</w:t>
      </w:r>
    </w:p>
    <w:p w14:paraId="4BDACC6F"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(2) Darbiniekiem, kas minēti 1. punktā, jānodrošina īpaša profesionālā apmācība par pārkāpumu izmeklēšanu un konstatēšanu. Šīs apmācības programmu un ilgumu, kā arī zināšanu pārbaudes metodes, nosaka ar Lielhercogistes noteikumiem.</w:t>
      </w:r>
    </w:p>
    <w:p w14:paraId="23E18C1A"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Pirms stāšanās amatā viņi Luksemburgas rajona tiesā, kas izskata civillietas, dod šādu zvērestu:</w:t>
      </w:r>
    </w:p>
    <w:p w14:paraId="1EC889C1"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 xml:space="preserve">“Es zvēru pildīt savus amata pienākumus godprātīgi, precīzi un objektīvi.” </w:t>
      </w:r>
    </w:p>
    <w:p w14:paraId="0E596F75"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Piemēro Kriminālkodeksa 458. pantu. </w:t>
      </w:r>
    </w:p>
    <w:p w14:paraId="181593C7" w14:textId="77777777" w:rsidR="000147DB" w:rsidRPr="00AB6457" w:rsidRDefault="000147DB" w:rsidP="000147DB">
      <w:pPr>
        <w:spacing w:after="0" w:line="240" w:lineRule="auto"/>
        <w:jc w:val="both"/>
        <w:rPr>
          <w:rFonts w:eastAsia="Times New Roman" w:cs="Arial"/>
          <w:strike/>
          <w:color w:val="FF0000"/>
          <w:lang w:eastAsia="fr-FR"/>
        </w:rPr>
      </w:pPr>
    </w:p>
    <w:p w14:paraId="0ED2FC95" w14:textId="77777777" w:rsidR="000147DB" w:rsidRPr="00AB6457" w:rsidRDefault="000147DB" w:rsidP="000147DB">
      <w:pPr>
        <w:spacing w:after="0" w:line="240" w:lineRule="auto"/>
        <w:jc w:val="both"/>
        <w:rPr>
          <w:rFonts w:eastAsia="Times New Roman" w:cs="Arial"/>
          <w:strike/>
          <w:color w:val="FF0000"/>
          <w:lang w:eastAsia="fr-FR"/>
        </w:rPr>
      </w:pPr>
    </w:p>
    <w:p w14:paraId="4F3097F3" w14:textId="77777777" w:rsidR="000147DB" w:rsidRPr="00AB6457" w:rsidRDefault="000147DB" w:rsidP="00B972B3">
      <w:pPr>
        <w:keepNext/>
        <w:keepLines/>
        <w:rPr>
          <w:rFonts w:ascii="Calibri" w:eastAsia="Calibri" w:hAnsi="Calibri" w:cs="Times New Roman"/>
          <w:color w:val="FF0000"/>
          <w:sz w:val="24"/>
          <w:szCs w:val="24"/>
        </w:rPr>
      </w:pPr>
      <w:r w:rsidRPr="00AB6457">
        <w:rPr>
          <w:rFonts w:ascii="Calibri" w:hAnsi="Calibri"/>
          <w:color w:val="FF0000"/>
          <w:sz w:val="24"/>
          <w:szCs w:val="24"/>
          <w:u w:val="single"/>
        </w:rPr>
        <w:t>18. pants. Kontroles pilnvaras un prerogatīvas</w:t>
      </w:r>
    </w:p>
    <w:p w14:paraId="16422B7B"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 xml:space="preserve">(1) Personām, kas minētas 17. pantā, gan dienu, gan nakti bez iepriekšēja brīdinājuma ir piekļuve iekārtām, telpām, zemei, būvēm un transportlīdzekļiem, uz kuriem attiecas šis likums un noteikumi, kas pieņemti tā piemērošanai. </w:t>
      </w:r>
    </w:p>
    <w:p w14:paraId="038ADE3C" w14:textId="4CBD0E56"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(2) Panta 1. punkta noteikumus nepiemēro dzīvojamām telpām.</w:t>
      </w:r>
    </w:p>
    <w:p w14:paraId="017C6164"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Tomēr, neskarot Kriminālprocesa kodeksa 33. panta 1. punktu, ja ir nopietni pierādījumi, kas liecina, ka pārkāpuma izcelsme ir meklējama dzīvojamās telpās, laikā no plkst. 6.30 līdz plkst. 24.00 tās var apmeklēt kriminālpolicijas darbinieks, Lielhercogistes policijas darbinieks vai darbinieks 45. panta nozīmē, pamatojoties uz izmeklēšanas tiesneša atļauju.</w:t>
      </w:r>
    </w:p>
    <w:p w14:paraId="1BB0F8A5" w14:textId="77777777" w:rsidR="000147DB" w:rsidRPr="00AB6457" w:rsidRDefault="000147DB" w:rsidP="00B972B3">
      <w:pPr>
        <w:keepNext/>
        <w:keepLines/>
        <w:jc w:val="both"/>
        <w:rPr>
          <w:rFonts w:ascii="Calibri" w:eastAsia="Calibri" w:hAnsi="Calibri" w:cs="Times New Roman"/>
          <w:color w:val="FF0000"/>
          <w:sz w:val="24"/>
          <w:szCs w:val="24"/>
        </w:rPr>
      </w:pPr>
      <w:r w:rsidRPr="00AB6457">
        <w:rPr>
          <w:rFonts w:ascii="Calibri" w:hAnsi="Calibri"/>
          <w:color w:val="FF0000"/>
          <w:sz w:val="24"/>
          <w:szCs w:val="24"/>
        </w:rPr>
        <w:t>(3) Īstenojot 1. un 2. punktā paredzētās pilnvaras, attiecīgie darbinieki ir tiesīgi:</w:t>
      </w:r>
    </w:p>
    <w:p w14:paraId="6F3F9813"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1. saņemt informāciju par visiem ierakstiem un dokumentiem, kas attiecas uz iepakojumu un izlietoto iepakojumu, kā minēts šajā likumā;</w:t>
      </w:r>
    </w:p>
    <w:p w14:paraId="75B9F6D7" w14:textId="5E96EE24"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2. izņemt vai likt izņemt šajā likumā minētā iepakojuma un izlietotā iepakojuma paraugus pārbaudes vai analīzes vajadzībām. Daļa no parauga noslēgtā vai aizzīmogotā veidā tiek nodota iekārtas, objekta vai transportlīdzekļa ekspluatantam vai turētājam uz viņa rēķina, ja vien viņš no tās nepārprotami neatsakās vai ja to neliedz izdarīt tehniski iemesli;</w:t>
      </w:r>
    </w:p>
    <w:p w14:paraId="7A3F87EB" w14:textId="3B7EC98F"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3. izņemt un, ja nepieciešams, aizzīmogot iepakojumu un izlietoto iepakojumu, uz kuru attiecas šis likums, kā arī ar to saistītos ierakstus un dokumentus.</w:t>
      </w:r>
    </w:p>
    <w:p w14:paraId="724E3F46"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(4) Visām personām, uz kurām attiecas 3. punktā paredzētie pasākumi, kā arī personām, kas tās aizstāj, pēc to amatpersonu pieprasījuma, kas ir atbildīgas par šiem pasākumiem, ir jāatbalsta darbības, kuras veic amatpersonas.</w:t>
      </w:r>
    </w:p>
    <w:p w14:paraId="3EDE58D7"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Iepriekšējā daļā minētās personas var būt klāt šo darbību veikšanas laikā.</w:t>
      </w:r>
    </w:p>
    <w:p w14:paraId="7303060C"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(5) Par konstatējumiem un attiecīgajām darbībām sastāda protokolu.</w:t>
      </w:r>
    </w:p>
    <w:p w14:paraId="560BE14F" w14:textId="77777777" w:rsidR="000147DB" w:rsidRPr="00AB6457" w:rsidRDefault="000147DB" w:rsidP="000147DB">
      <w:pPr>
        <w:jc w:val="both"/>
        <w:rPr>
          <w:rFonts w:ascii="Calibri" w:eastAsia="Calibri" w:hAnsi="Calibri" w:cs="Times New Roman"/>
          <w:color w:val="FF0000"/>
          <w:sz w:val="24"/>
          <w:szCs w:val="24"/>
        </w:rPr>
      </w:pPr>
      <w:r w:rsidRPr="00AB6457">
        <w:rPr>
          <w:rFonts w:ascii="Calibri" w:hAnsi="Calibri"/>
          <w:color w:val="FF0000"/>
          <w:sz w:val="24"/>
          <w:szCs w:val="24"/>
        </w:rPr>
        <w:t>(6) Izmaksas, kas rodas saistībā ar pasākumiem, kuri tiek veikti saskaņā ar šo pantu, tiek iekļautas turpmākajos tiesas izdevumos. </w:t>
      </w:r>
    </w:p>
    <w:p w14:paraId="20CF83B8" w14:textId="77777777" w:rsidR="000147DB" w:rsidRPr="00AB6457" w:rsidRDefault="000147DB" w:rsidP="000147DB">
      <w:pPr>
        <w:spacing w:after="0" w:line="240" w:lineRule="auto"/>
        <w:jc w:val="both"/>
        <w:rPr>
          <w:rFonts w:eastAsia="Times New Roman" w:cs="Arial"/>
          <w:strike/>
          <w:color w:val="FF0000"/>
          <w:lang w:eastAsia="fr-FR"/>
        </w:rPr>
      </w:pPr>
    </w:p>
    <w:p w14:paraId="53FCF286" w14:textId="77777777" w:rsidR="000147DB" w:rsidRPr="00AB6457" w:rsidRDefault="000147DB" w:rsidP="000147DB">
      <w:pPr>
        <w:spacing w:after="0" w:line="240" w:lineRule="auto"/>
        <w:jc w:val="center"/>
        <w:rPr>
          <w:rFonts w:eastAsia="Calibri" w:cs="Arial"/>
        </w:rPr>
      </w:pPr>
    </w:p>
    <w:p w14:paraId="29F0DFDD"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sidRPr="00AB6457">
        <w:rPr>
          <w:color w:val="FF0000"/>
          <w:sz w:val="24"/>
          <w:szCs w:val="24"/>
          <w:u w:val="single"/>
        </w:rPr>
        <w:t>19. pants. Kriminālsodi</w:t>
      </w:r>
    </w:p>
    <w:p w14:paraId="18C8EB51"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6EF84795"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Ar cietumsodu no astoņām dienām līdz trīs gadiem un naudassodu no 251 euro līdz 750 000 euro vai tikai ar vienu no šiem sodiem soda par 6. panta 1. punkta, 7. panta 1. punkta pirmās daļas un 3. punkta, 8. panta 1. punkta otrās daļas, 8. panta 2. punkta, 8. panta 4. punkta, 9. panta un 11. panta 1. punkta pārkāpšanu.</w:t>
      </w:r>
    </w:p>
    <w:p w14:paraId="45DF1212"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lang w:eastAsia="fr-BE"/>
        </w:rPr>
      </w:pPr>
    </w:p>
    <w:p w14:paraId="19C50898" w14:textId="77777777" w:rsidR="000147DB" w:rsidRPr="00AB6457" w:rsidRDefault="000147DB" w:rsidP="000147DB">
      <w:pPr>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rPr>
        <w:t>Tādus pašus sodus piemēro par administratīvo pasākumu, kas noteikti saskaņā ar 21. pantu, traucēšanu vai neievērošanu.</w:t>
      </w:r>
    </w:p>
    <w:p w14:paraId="36E770B5" w14:textId="77777777" w:rsidR="000147DB" w:rsidRPr="00AB6457" w:rsidRDefault="000147DB" w:rsidP="000147DB">
      <w:pPr>
        <w:spacing w:after="0" w:line="240" w:lineRule="auto"/>
        <w:rPr>
          <w:rFonts w:eastAsia="Calibri" w:cs="Arial"/>
        </w:rPr>
      </w:pPr>
    </w:p>
    <w:p w14:paraId="67DBA026" w14:textId="77777777" w:rsidR="000147DB" w:rsidRPr="00AB6457" w:rsidRDefault="000147DB" w:rsidP="000147DB">
      <w:pPr>
        <w:spacing w:after="0" w:line="240" w:lineRule="auto"/>
        <w:jc w:val="both"/>
        <w:rPr>
          <w:rFonts w:eastAsia="Calibri" w:cs="Arial"/>
          <w:color w:val="FF0000"/>
        </w:rPr>
      </w:pPr>
    </w:p>
    <w:p w14:paraId="6F9BCE2F" w14:textId="77777777" w:rsidR="000147DB" w:rsidRPr="00AB6457" w:rsidRDefault="000147DB" w:rsidP="000147DB">
      <w:pPr>
        <w:spacing w:after="0" w:line="240" w:lineRule="auto"/>
        <w:jc w:val="both"/>
        <w:rPr>
          <w:rFonts w:eastAsia="Times New Roman" w:cs="Arial"/>
          <w:b/>
          <w:u w:val="single"/>
          <w:lang w:eastAsia="fr-FR"/>
        </w:rPr>
      </w:pPr>
    </w:p>
    <w:p w14:paraId="4741CEFE"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sidRPr="00AB6457">
        <w:rPr>
          <w:color w:val="FF0000"/>
          <w:sz w:val="24"/>
          <w:szCs w:val="24"/>
          <w:u w:val="single"/>
        </w:rPr>
        <w:t>20. pants. Administratīvie naudassodi</w:t>
      </w:r>
    </w:p>
    <w:p w14:paraId="42AED218" w14:textId="77777777" w:rsidR="000147DB" w:rsidRPr="00AB6457" w:rsidRDefault="000147DB" w:rsidP="00B972B3">
      <w:pPr>
        <w:keepNext/>
        <w:keepLines/>
        <w:autoSpaceDE w:val="0"/>
        <w:autoSpaceDN w:val="0"/>
        <w:adjustRightInd w:val="0"/>
        <w:spacing w:after="0" w:line="240" w:lineRule="auto"/>
        <w:jc w:val="both"/>
        <w:rPr>
          <w:rFonts w:eastAsia="Calibri" w:cs="TimesNewRoman"/>
          <w:color w:val="FF0000"/>
          <w:sz w:val="24"/>
          <w:szCs w:val="24"/>
          <w:lang w:eastAsia="fr-BE"/>
        </w:rPr>
      </w:pPr>
    </w:p>
    <w:p w14:paraId="47BECB2B" w14:textId="77777777" w:rsidR="000147DB" w:rsidRPr="00AB6457" w:rsidRDefault="000147DB" w:rsidP="000147DB">
      <w:pPr>
        <w:autoSpaceDE w:val="0"/>
        <w:autoSpaceDN w:val="0"/>
        <w:adjustRightInd w:val="0"/>
        <w:spacing w:after="0"/>
        <w:jc w:val="both"/>
        <w:rPr>
          <w:rFonts w:cs="TimesNewRoman"/>
          <w:color w:val="FF0000"/>
          <w:sz w:val="24"/>
          <w:szCs w:val="24"/>
        </w:rPr>
      </w:pPr>
      <w:r w:rsidRPr="00AB6457">
        <w:rPr>
          <w:color w:val="FF0000"/>
          <w:sz w:val="24"/>
          <w:szCs w:val="24"/>
        </w:rPr>
        <w:t>Ministrs var uzlikt administratīvu naudassodu no 50 līdz 10 000 euro, ja tiek pārkāpts 5. panta 1. un 2. punkts, 7. panta 2. punkta a) apakšpunkta trešā daļa, 8. panta 3. punkta trešā daļa, 12. panta 2. punkts, 14. panta 1. un 2. punkts, 15. pants vai 16. panta 2. punkts.</w:t>
      </w:r>
    </w:p>
    <w:p w14:paraId="7D851266" w14:textId="77777777" w:rsidR="000147DB" w:rsidRPr="00AB6457" w:rsidRDefault="000147DB" w:rsidP="000147DB">
      <w:pPr>
        <w:autoSpaceDE w:val="0"/>
        <w:autoSpaceDN w:val="0"/>
        <w:adjustRightInd w:val="0"/>
        <w:spacing w:after="0"/>
        <w:jc w:val="both"/>
        <w:rPr>
          <w:rFonts w:cs="TimesNewRoman"/>
          <w:color w:val="FF0000"/>
          <w:sz w:val="24"/>
          <w:szCs w:val="24"/>
          <w:lang w:eastAsia="fr-BE"/>
        </w:rPr>
      </w:pPr>
    </w:p>
    <w:p w14:paraId="751FD4D4" w14:textId="1B51823B" w:rsidR="000147DB" w:rsidRPr="00AB6457" w:rsidRDefault="000147DB" w:rsidP="000147DB">
      <w:pPr>
        <w:autoSpaceDE w:val="0"/>
        <w:autoSpaceDN w:val="0"/>
        <w:adjustRightInd w:val="0"/>
        <w:spacing w:after="0"/>
        <w:jc w:val="both"/>
        <w:rPr>
          <w:rFonts w:cs="TimesNewRoman"/>
          <w:color w:val="FF0000"/>
          <w:sz w:val="24"/>
          <w:szCs w:val="24"/>
        </w:rPr>
      </w:pPr>
      <w:r w:rsidRPr="00AB6457">
        <w:rPr>
          <w:color w:val="FF0000"/>
          <w:sz w:val="24"/>
          <w:szCs w:val="24"/>
        </w:rPr>
        <w:t>Naudassodi jāsamaksā divu mēnešu laikā pēc lēmuma paziņošanas rakstveidā.</w:t>
      </w:r>
    </w:p>
    <w:p w14:paraId="6134B9EE" w14:textId="77777777" w:rsidR="000147DB" w:rsidRPr="00AB6457" w:rsidRDefault="000147DB" w:rsidP="000147DB">
      <w:pPr>
        <w:autoSpaceDE w:val="0"/>
        <w:autoSpaceDN w:val="0"/>
        <w:adjustRightInd w:val="0"/>
        <w:spacing w:after="0"/>
        <w:jc w:val="both"/>
        <w:rPr>
          <w:rFonts w:cs="TimesNewRoman"/>
          <w:color w:val="FF0000"/>
          <w:sz w:val="24"/>
          <w:szCs w:val="24"/>
          <w:lang w:eastAsia="fr-BE"/>
        </w:rPr>
      </w:pPr>
    </w:p>
    <w:p w14:paraId="3ECDD579" w14:textId="77777777" w:rsidR="000147DB" w:rsidRPr="00AB6457" w:rsidRDefault="000147DB" w:rsidP="000147DB">
      <w:pPr>
        <w:autoSpaceDE w:val="0"/>
        <w:autoSpaceDN w:val="0"/>
        <w:adjustRightInd w:val="0"/>
        <w:spacing w:after="0"/>
        <w:jc w:val="both"/>
        <w:rPr>
          <w:rFonts w:cs="TimesNewRoman"/>
          <w:color w:val="FF0000"/>
          <w:sz w:val="24"/>
          <w:szCs w:val="24"/>
        </w:rPr>
      </w:pPr>
      <w:r w:rsidRPr="00AB6457">
        <w:rPr>
          <w:color w:val="FF0000"/>
          <w:sz w:val="24"/>
          <w:szCs w:val="24"/>
        </w:rPr>
        <w:t>Administratīvos naudassodus iekasē Reģistrācijas, domēnu un PVN pārvalde. Naudassodu piedziņa notiek tāpat kā reģistrācijas maksas gadījumā.</w:t>
      </w:r>
    </w:p>
    <w:p w14:paraId="79836004" w14:textId="77777777" w:rsidR="000147DB" w:rsidRPr="00AB6457" w:rsidRDefault="000147DB" w:rsidP="000147DB">
      <w:pPr>
        <w:spacing w:after="0" w:line="240" w:lineRule="auto"/>
        <w:jc w:val="both"/>
        <w:rPr>
          <w:rFonts w:eastAsia="Times New Roman" w:cs="Arial"/>
          <w:b/>
          <w:color w:val="FF0000"/>
          <w:u w:val="single"/>
          <w:lang w:eastAsia="fr-FR"/>
        </w:rPr>
      </w:pPr>
    </w:p>
    <w:p w14:paraId="40076A38" w14:textId="77777777" w:rsidR="000147DB" w:rsidRPr="00AB6457" w:rsidRDefault="000147DB" w:rsidP="000147DB">
      <w:pPr>
        <w:spacing w:after="0" w:line="240" w:lineRule="auto"/>
        <w:jc w:val="both"/>
        <w:rPr>
          <w:rFonts w:eastAsia="Times New Roman" w:cs="Arial"/>
          <w:b/>
          <w:u w:val="single"/>
          <w:lang w:eastAsia="fr-FR"/>
        </w:rPr>
      </w:pPr>
    </w:p>
    <w:p w14:paraId="7782CE6B" w14:textId="77777777" w:rsidR="000147DB" w:rsidRPr="00AB6457" w:rsidRDefault="000147DB" w:rsidP="000147DB">
      <w:pPr>
        <w:spacing w:after="0" w:line="240" w:lineRule="auto"/>
        <w:jc w:val="both"/>
        <w:rPr>
          <w:rFonts w:eastAsia="Times New Roman" w:cs="Arial"/>
          <w:b/>
          <w:u w:val="single"/>
          <w:lang w:eastAsia="fr-FR"/>
        </w:rPr>
      </w:pPr>
    </w:p>
    <w:p w14:paraId="7035C42C" w14:textId="77777777" w:rsidR="000147DB" w:rsidRPr="00AB6457" w:rsidRDefault="000147DB" w:rsidP="000147DB">
      <w:pPr>
        <w:spacing w:after="0" w:line="240" w:lineRule="auto"/>
        <w:jc w:val="both"/>
        <w:rPr>
          <w:rFonts w:eastAsia="Times New Roman" w:cs="Arial"/>
          <w:b/>
          <w:u w:val="single"/>
          <w:lang w:eastAsia="fr-FR"/>
        </w:rPr>
      </w:pPr>
    </w:p>
    <w:p w14:paraId="59B3BC00" w14:textId="77777777" w:rsidR="000147DB" w:rsidRPr="00AB6457" w:rsidRDefault="000147DB" w:rsidP="00B972B3">
      <w:pPr>
        <w:keepNext/>
        <w:keepLines/>
        <w:spacing w:after="0" w:line="240" w:lineRule="auto"/>
        <w:jc w:val="both"/>
        <w:rPr>
          <w:rFonts w:eastAsia="Times New Roman" w:cs="Arial"/>
          <w:b/>
          <w:bCs/>
          <w:iCs/>
        </w:rPr>
      </w:pPr>
      <w:r w:rsidRPr="00AB6457">
        <w:rPr>
          <w:b/>
          <w:bCs/>
        </w:rPr>
        <w:t xml:space="preserve">21. pants. </w:t>
      </w:r>
      <w:r w:rsidRPr="00AB6457">
        <w:rPr>
          <w:b/>
          <w:bCs/>
          <w:iCs/>
        </w:rPr>
        <w:t>Administratīvie pasākumi</w:t>
      </w:r>
    </w:p>
    <w:p w14:paraId="5F403B1E" w14:textId="77777777" w:rsidR="000147DB" w:rsidRPr="00AB6457" w:rsidRDefault="000147DB" w:rsidP="00B972B3">
      <w:pPr>
        <w:keepNext/>
        <w:keepLines/>
        <w:spacing w:after="0" w:line="240" w:lineRule="auto"/>
        <w:jc w:val="both"/>
        <w:rPr>
          <w:rFonts w:eastAsia="Times New Roman" w:cs="Arial"/>
          <w:b/>
          <w:bCs/>
          <w:iCs/>
          <w:lang w:eastAsia="fr-FR"/>
        </w:rPr>
      </w:pPr>
    </w:p>
    <w:p w14:paraId="3E28D60D" w14:textId="20FDE3DB" w:rsidR="000147DB" w:rsidRPr="00AB6457" w:rsidRDefault="000147DB" w:rsidP="00B972B3">
      <w:pPr>
        <w:keepNext/>
        <w:keepLines/>
        <w:spacing w:after="0" w:line="240" w:lineRule="auto"/>
        <w:jc w:val="both"/>
        <w:rPr>
          <w:rFonts w:eastAsia="Times New Roman" w:cs="Arial"/>
        </w:rPr>
      </w:pPr>
      <w:r w:rsidRPr="00AB6457">
        <w:t>(1) Ja netiek ievēroti šā likuma noteikumi, par kuru pārkāpšanu soda saskaņā ar 19. pantu, ministrs var:</w:t>
      </w:r>
    </w:p>
    <w:p w14:paraId="3FA876A2" w14:textId="77777777" w:rsidR="000147DB" w:rsidRPr="00AB6457" w:rsidRDefault="000147DB" w:rsidP="000147DB">
      <w:pPr>
        <w:spacing w:after="0" w:line="240" w:lineRule="auto"/>
        <w:jc w:val="both"/>
        <w:rPr>
          <w:rFonts w:eastAsia="Times New Roman" w:cs="Arial"/>
          <w:spacing w:val="-4"/>
        </w:rPr>
      </w:pPr>
      <w:r w:rsidRPr="00AB6457">
        <w:t>noteikt iepakojuma apsaimniekotājam, apstiprinātai struktūrai vai citai attiecīgai personai termiņu, kurā jānodrošina atbilstība šiem noteikumiem, un minētais termiņš nevar pārsniegt divus gadus;</w:t>
      </w:r>
    </w:p>
    <w:p w14:paraId="3CDBEA63" w14:textId="11412CF2" w:rsidR="000147DB" w:rsidRPr="00AB6457" w:rsidRDefault="000147DB" w:rsidP="000147DB">
      <w:pPr>
        <w:autoSpaceDE w:val="0"/>
        <w:autoSpaceDN w:val="0"/>
        <w:adjustRightInd w:val="0"/>
        <w:spacing w:after="0" w:line="276" w:lineRule="auto"/>
        <w:jc w:val="both"/>
        <w:rPr>
          <w:rFonts w:cs="TimesNewRoman"/>
          <w:color w:val="FF0000"/>
          <w:sz w:val="24"/>
          <w:szCs w:val="24"/>
        </w:rPr>
      </w:pPr>
      <w:r w:rsidRPr="00AB6457">
        <w:rPr>
          <w:color w:val="FF0000"/>
          <w:sz w:val="24"/>
          <w:szCs w:val="24"/>
        </w:rPr>
        <w:t>2) pilnībā vai daļēji apturēt iepakojuma apsaimniekotāja vai apstiprinātās struktūras darbību, iekārtas ekspluatāciju vai likt pilnībā vai daļēji slēgt attiecīgo iekārtu un noplombēt to, vai aizliegt laist tirgū vai likt izņemt no tirgus šajā likumā minēto iepakojumu un izlietoto iepakojumu. </w:t>
      </w:r>
    </w:p>
    <w:p w14:paraId="5BBBA105" w14:textId="77777777" w:rsidR="000147DB" w:rsidRPr="00AB6457" w:rsidRDefault="000147DB" w:rsidP="000147DB">
      <w:pPr>
        <w:spacing w:after="0" w:line="240" w:lineRule="auto"/>
        <w:jc w:val="both"/>
        <w:rPr>
          <w:rFonts w:eastAsia="Times New Roman" w:cs="Arial"/>
          <w:lang w:eastAsia="fr-FR"/>
        </w:rPr>
      </w:pPr>
    </w:p>
    <w:p w14:paraId="481D1A7A" w14:textId="77777777" w:rsidR="000147DB" w:rsidRPr="00AB6457" w:rsidRDefault="000147DB" w:rsidP="000147DB">
      <w:pPr>
        <w:spacing w:after="0" w:line="240" w:lineRule="auto"/>
        <w:jc w:val="both"/>
        <w:rPr>
          <w:rFonts w:eastAsia="Times New Roman" w:cs="Arial"/>
          <w:lang w:eastAsia="fr-FR"/>
        </w:rPr>
      </w:pPr>
    </w:p>
    <w:p w14:paraId="1F8D961C" w14:textId="77777777" w:rsidR="000147DB" w:rsidRPr="00AB6457" w:rsidRDefault="000147DB" w:rsidP="000147DB">
      <w:pPr>
        <w:spacing w:after="0" w:line="240" w:lineRule="auto"/>
        <w:jc w:val="both"/>
        <w:rPr>
          <w:rFonts w:eastAsia="Times New Roman" w:cs="Arial"/>
        </w:rPr>
      </w:pPr>
      <w:r w:rsidRPr="00AB6457">
        <w:t>(2) Jebkura ieinteresētā persona var pieprasīt 1. punktā minēto pasākumu piemērošanu.</w:t>
      </w:r>
    </w:p>
    <w:p w14:paraId="15C47735" w14:textId="77777777" w:rsidR="000147DB" w:rsidRPr="00AB6457" w:rsidRDefault="000147DB" w:rsidP="000147DB">
      <w:pPr>
        <w:spacing w:after="0" w:line="240" w:lineRule="auto"/>
        <w:jc w:val="both"/>
        <w:rPr>
          <w:rFonts w:eastAsia="Times New Roman" w:cs="Arial"/>
        </w:rPr>
      </w:pPr>
      <w:r w:rsidRPr="00AB6457">
        <w:t>(3) 1. punktā minētos pasākumus atceļ, kad iepakojuma apsaimniekotājs, apstiprinātā struktūra vai cita attiecīga persona ir nodrošinājusi atbilstību.</w:t>
      </w:r>
    </w:p>
    <w:p w14:paraId="2D1DE739" w14:textId="77777777" w:rsidR="000147DB" w:rsidRPr="00AB6457" w:rsidRDefault="000147DB" w:rsidP="000147DB">
      <w:pPr>
        <w:spacing w:after="0" w:line="240" w:lineRule="auto"/>
        <w:jc w:val="both"/>
        <w:rPr>
          <w:rFonts w:eastAsia="Times New Roman" w:cs="Arial"/>
          <w:b/>
          <w:bCs/>
          <w:lang w:eastAsia="fr-FR"/>
        </w:rPr>
      </w:pPr>
    </w:p>
    <w:p w14:paraId="6F3C4DAC" w14:textId="77777777" w:rsidR="000147DB" w:rsidRPr="00AB6457" w:rsidRDefault="000147DB" w:rsidP="00B972B3">
      <w:pPr>
        <w:keepNext/>
        <w:keepLines/>
        <w:spacing w:after="0" w:line="240" w:lineRule="auto"/>
        <w:jc w:val="both"/>
        <w:rPr>
          <w:rFonts w:eastAsia="Times New Roman" w:cs="Arial"/>
        </w:rPr>
      </w:pPr>
      <w:r w:rsidRPr="00AB6457">
        <w:rPr>
          <w:b/>
          <w:bCs/>
        </w:rPr>
        <w:lastRenderedPageBreak/>
        <w:t xml:space="preserve">22. pants. </w:t>
      </w:r>
      <w:r w:rsidRPr="00AB6457">
        <w:rPr>
          <w:b/>
          <w:bCs/>
          <w:iCs/>
        </w:rPr>
        <w:t>Pārsūdzības iespējas</w:t>
      </w:r>
    </w:p>
    <w:p w14:paraId="777CA2C3" w14:textId="77777777" w:rsidR="000147DB" w:rsidRPr="00AB6457" w:rsidRDefault="000147DB" w:rsidP="000147DB">
      <w:pPr>
        <w:spacing w:after="0" w:line="240" w:lineRule="auto"/>
        <w:jc w:val="both"/>
        <w:rPr>
          <w:rFonts w:eastAsia="Times New Roman" w:cs="Arial"/>
        </w:rPr>
      </w:pPr>
      <w:r w:rsidRPr="00AB6457">
        <w:t>Pret lēmumiem, kas pieņemti, pamatojoties uz šo likumu, Administratīvajā tiesā var iesniegt pārsūdzību pēc būtības. Šāda pārsūdzība jāiesniedz 40 dienu laikā pēc lēmuma paziņošanas, citādi pārsūdzības tiesības tiek zaudētas. Pārsūdzību var iesniegt arī 23. pantā minētās apvienības un organizācijas.</w:t>
      </w:r>
    </w:p>
    <w:p w14:paraId="037D069C" w14:textId="77777777" w:rsidR="000147DB" w:rsidRPr="00AB6457" w:rsidRDefault="000147DB" w:rsidP="000147DB">
      <w:pPr>
        <w:spacing w:after="0" w:line="240" w:lineRule="auto"/>
        <w:jc w:val="both"/>
        <w:rPr>
          <w:rFonts w:eastAsia="Times New Roman" w:cs="Arial"/>
          <w:lang w:eastAsia="fr-FR"/>
        </w:rPr>
      </w:pPr>
    </w:p>
    <w:p w14:paraId="6E733435" w14:textId="77777777" w:rsidR="000147DB" w:rsidRPr="00AB6457" w:rsidRDefault="000147DB" w:rsidP="00B972B3">
      <w:pPr>
        <w:keepNext/>
        <w:keepLines/>
        <w:spacing w:after="0" w:line="240" w:lineRule="auto"/>
        <w:jc w:val="both"/>
        <w:rPr>
          <w:rFonts w:eastAsia="Times New Roman" w:cs="Arial"/>
          <w:color w:val="000000"/>
        </w:rPr>
      </w:pPr>
      <w:r w:rsidRPr="00AB6457">
        <w:rPr>
          <w:b/>
          <w:bCs/>
          <w:color w:val="000000"/>
        </w:rPr>
        <w:t xml:space="preserve">23. pants. </w:t>
      </w:r>
      <w:r w:rsidRPr="00AB6457">
        <w:rPr>
          <w:b/>
          <w:bCs/>
          <w:iCs/>
          <w:color w:val="000000"/>
        </w:rPr>
        <w:t>Apstiprināto ekoloģisko apvienību tiesības vērsties tiesā</w:t>
      </w:r>
    </w:p>
    <w:p w14:paraId="54A6D588" w14:textId="7234A958" w:rsidR="000147DB" w:rsidRPr="00832CA7" w:rsidRDefault="000147DB" w:rsidP="000147DB">
      <w:pPr>
        <w:spacing w:after="0" w:line="240" w:lineRule="auto"/>
        <w:jc w:val="both"/>
        <w:rPr>
          <w:rFonts w:eastAsia="Times New Roman" w:cs="Arial"/>
          <w:color w:val="000000"/>
          <w:spacing w:val="-4"/>
        </w:rPr>
      </w:pPr>
      <w:r w:rsidRPr="00832CA7">
        <w:rPr>
          <w:color w:val="000000"/>
          <w:spacing w:val="-4"/>
        </w:rPr>
        <w:t>Apvienības un organizācijas, kas apstiprinātas saskaņā ar 2012. gada 21. marta likumu, var izmantot tiesības, kas civilprasītājam tiek piešķirtas attiecībā uz faktiem, kas ir pārkāpums šā likuma nozīmē un rada tiešu vai netiešu kaitējumu kolektīvajām interesēm, kuras aizstāvēt ir minēto organizāciju darbības mērķis, pat ja tām nav pamatojuma, kas balstīts uz materiālu ieinteresētību un pat ja kolektīvās intereses, kuru vārdā šīs organizācijas darbojas, pilnībā pārklājas ar sabiedrības interesēm, kuru aizstāvēšanu nodrošina prokuratūra. Tas pats attiecas uz apvienībām un organizācijām, kuru darbību reglamentē ārvalstu tiesību akti, kurām ir juridiskas personas statuss un kuras veic savos statūtos noteiktas darbības vides aizsardzības jomā.</w:t>
      </w:r>
    </w:p>
    <w:p w14:paraId="1F5A9B0C" w14:textId="77777777" w:rsidR="000147DB" w:rsidRPr="00AB6457" w:rsidRDefault="000147DB" w:rsidP="000147DB">
      <w:pPr>
        <w:spacing w:after="0" w:line="240" w:lineRule="auto"/>
        <w:jc w:val="both"/>
        <w:rPr>
          <w:rFonts w:eastAsia="Times New Roman" w:cs="Arial"/>
          <w:lang w:eastAsia="fr-FR"/>
        </w:rPr>
      </w:pPr>
    </w:p>
    <w:p w14:paraId="71FAF0A0" w14:textId="77777777" w:rsidR="000147DB" w:rsidRPr="00AB6457" w:rsidRDefault="000147DB" w:rsidP="000147DB">
      <w:pPr>
        <w:spacing w:after="0" w:line="240" w:lineRule="auto"/>
        <w:jc w:val="both"/>
        <w:rPr>
          <w:rFonts w:eastAsia="Times New Roman" w:cs="Arial"/>
          <w:lang w:eastAsia="fr-FR"/>
        </w:rPr>
      </w:pPr>
    </w:p>
    <w:p w14:paraId="42EE1F17" w14:textId="77777777" w:rsidR="000147DB" w:rsidRPr="00AB6457" w:rsidRDefault="00747C65" w:rsidP="00B972B3">
      <w:pPr>
        <w:keepNext/>
        <w:keepLines/>
        <w:autoSpaceDE w:val="0"/>
        <w:autoSpaceDN w:val="0"/>
        <w:adjustRightInd w:val="0"/>
        <w:spacing w:after="0" w:line="240" w:lineRule="auto"/>
        <w:jc w:val="both"/>
        <w:rPr>
          <w:rFonts w:cs="TimesNewRoman"/>
          <w:color w:val="FF0000"/>
          <w:sz w:val="24"/>
          <w:szCs w:val="24"/>
          <w:u w:val="single"/>
        </w:rPr>
      </w:pPr>
      <w:r w:rsidRPr="00AB6457">
        <w:rPr>
          <w:color w:val="FF0000"/>
          <w:sz w:val="24"/>
          <w:szCs w:val="24"/>
          <w:u w:val="single"/>
        </w:rPr>
        <w:t>24. pants. Pielikumi </w:t>
      </w:r>
    </w:p>
    <w:p w14:paraId="442B7DA9" w14:textId="77777777" w:rsidR="000147DB" w:rsidRPr="00AB6457" w:rsidRDefault="000147DB" w:rsidP="00B972B3">
      <w:pPr>
        <w:keepNext/>
        <w:keepLines/>
        <w:autoSpaceDE w:val="0"/>
        <w:autoSpaceDN w:val="0"/>
        <w:adjustRightInd w:val="0"/>
        <w:spacing w:after="0" w:line="240" w:lineRule="auto"/>
        <w:jc w:val="both"/>
        <w:rPr>
          <w:rFonts w:cs="TimesNewRoman"/>
          <w:color w:val="FF0000"/>
          <w:sz w:val="24"/>
          <w:szCs w:val="24"/>
          <w:u w:val="single"/>
          <w:lang w:eastAsia="fr-BE"/>
        </w:rPr>
      </w:pPr>
    </w:p>
    <w:p w14:paraId="5380A119" w14:textId="5396EE1C" w:rsidR="000147DB" w:rsidRPr="00AB6457" w:rsidRDefault="000147DB" w:rsidP="000147DB">
      <w:pPr>
        <w:autoSpaceDE w:val="0"/>
        <w:autoSpaceDN w:val="0"/>
        <w:adjustRightInd w:val="0"/>
        <w:spacing w:after="0" w:line="240" w:lineRule="auto"/>
        <w:jc w:val="both"/>
        <w:rPr>
          <w:rFonts w:cs="TimesNewRoman"/>
          <w:b/>
          <w:color w:val="FF0000"/>
          <w:sz w:val="24"/>
          <w:szCs w:val="24"/>
        </w:rPr>
      </w:pPr>
      <w:r w:rsidRPr="00AB6457">
        <w:rPr>
          <w:b/>
          <w:color w:val="FF0000"/>
          <w:sz w:val="24"/>
          <w:szCs w:val="24"/>
        </w:rPr>
        <w:t>24. pants. Grozījumi I pielikumā 1994. gada 20. decembra Eiropas Parlamenta un Padomes Direktīvai 94/62/EK par iepakojumu un izlietoto iepakojumu, kurā grozījumi izdarīti ar Eiropas Komisijas deleģētajiem aktiem, kas pieņemti saskaņā ar minētās direktīvas 19. panta 2. punktu un 21.a pantu.</w:t>
      </w:r>
    </w:p>
    <w:p w14:paraId="08B11AB8" w14:textId="77777777" w:rsidR="000147DB" w:rsidRPr="00AB6457" w:rsidRDefault="000147DB" w:rsidP="000147DB">
      <w:pPr>
        <w:autoSpaceDE w:val="0"/>
        <w:autoSpaceDN w:val="0"/>
        <w:adjustRightInd w:val="0"/>
        <w:spacing w:after="0" w:line="240" w:lineRule="auto"/>
        <w:jc w:val="both"/>
        <w:rPr>
          <w:rFonts w:cs="TimesNewRoman"/>
          <w:b/>
          <w:color w:val="FF0000"/>
          <w:sz w:val="24"/>
          <w:szCs w:val="24"/>
          <w:lang w:eastAsia="fr-BE"/>
        </w:rPr>
      </w:pPr>
    </w:p>
    <w:p w14:paraId="0D5AC822" w14:textId="77777777" w:rsidR="000147DB" w:rsidRPr="00AB6457" w:rsidRDefault="000147DB" w:rsidP="000147DB">
      <w:pPr>
        <w:autoSpaceDE w:val="0"/>
        <w:autoSpaceDN w:val="0"/>
        <w:adjustRightInd w:val="0"/>
        <w:spacing w:after="0" w:line="240" w:lineRule="auto"/>
        <w:jc w:val="both"/>
        <w:rPr>
          <w:rFonts w:cs="TimesNewRoman"/>
          <w:color w:val="FF0000"/>
          <w:sz w:val="24"/>
          <w:szCs w:val="24"/>
        </w:rPr>
      </w:pPr>
      <w:r w:rsidRPr="00AB6457">
        <w:rPr>
          <w:color w:val="FF0000"/>
          <w:sz w:val="24"/>
          <w:szCs w:val="24"/>
        </w:rPr>
        <w:t>Grozījumus pielikumā 1994. gada 20. decembra Eiropas Parlamenta un Padomes Direktīvai 94/62/EK par iepakojumu un izlietoto iepakojumu, kurā grozījumi izdarīti ar Eiropas Komisijas deleģētajiem aktiem, kas pieņemti saskaņā ar minētās direktīvas 19. panta 2. punktu un 21.a pantu, piemēro no dienas, kad stājas spēkā attiecīgie Eiropas Komisijas akti.</w:t>
      </w:r>
    </w:p>
    <w:p w14:paraId="6EBC782C" w14:textId="77777777" w:rsidR="000147DB" w:rsidRPr="00AB6457" w:rsidRDefault="000147DB" w:rsidP="000147DB">
      <w:pPr>
        <w:autoSpaceDE w:val="0"/>
        <w:autoSpaceDN w:val="0"/>
        <w:adjustRightInd w:val="0"/>
        <w:spacing w:after="0" w:line="240" w:lineRule="auto"/>
        <w:jc w:val="both"/>
        <w:rPr>
          <w:rFonts w:cs="TimesNewRoman"/>
          <w:color w:val="FF0000"/>
          <w:sz w:val="24"/>
          <w:szCs w:val="24"/>
        </w:rPr>
      </w:pPr>
      <w:r w:rsidRPr="00AB6457">
        <w:rPr>
          <w:color w:val="FF0000"/>
          <w:sz w:val="24"/>
          <w:szCs w:val="24"/>
        </w:rPr>
        <w:t xml:space="preserve">Ministrs publicē atzinumu Luksemburgas Lielhercogistes oficiālajā vēstnesī, sniedzot informāciju par šādi veiktajiem grozījumiem, tostarp pievienojot atsauci uz aktu, kas publicēts Eiropas Savienības Oficiālajā Vēstnesī. </w:t>
      </w:r>
    </w:p>
    <w:p w14:paraId="4F5B1630" w14:textId="77777777" w:rsidR="000147DB" w:rsidRPr="00AB6457" w:rsidRDefault="000147DB" w:rsidP="000147DB">
      <w:pPr>
        <w:autoSpaceDE w:val="0"/>
        <w:autoSpaceDN w:val="0"/>
        <w:adjustRightInd w:val="0"/>
        <w:spacing w:after="0" w:line="240" w:lineRule="auto"/>
        <w:jc w:val="both"/>
        <w:rPr>
          <w:rFonts w:cs="TimesNewRoman"/>
          <w:sz w:val="24"/>
          <w:szCs w:val="24"/>
          <w:lang w:eastAsia="fr-BE"/>
        </w:rPr>
      </w:pPr>
    </w:p>
    <w:p w14:paraId="746EFFFC" w14:textId="77777777" w:rsidR="000147DB" w:rsidRPr="00AB6457" w:rsidRDefault="000147DB" w:rsidP="000147DB">
      <w:pPr>
        <w:spacing w:after="0" w:line="240" w:lineRule="auto"/>
        <w:jc w:val="both"/>
        <w:rPr>
          <w:rFonts w:ascii="Times New Roman" w:eastAsia="Times New Roman" w:hAnsi="Times New Roman" w:cs="Times New Roman"/>
          <w:sz w:val="24"/>
          <w:szCs w:val="24"/>
          <w:lang w:eastAsia="fr-FR"/>
        </w:rPr>
      </w:pPr>
    </w:p>
    <w:p w14:paraId="615F4A80" w14:textId="6951941F" w:rsidR="000147DB" w:rsidRPr="00AB6457" w:rsidRDefault="000147DB" w:rsidP="000147DB">
      <w:pPr>
        <w:spacing w:after="200" w:line="276" w:lineRule="auto"/>
        <w:rPr>
          <w:rFonts w:eastAsia="Times New Roman" w:cs="Arial"/>
          <w:b/>
          <w:color w:val="000000"/>
          <w:lang w:eastAsia="fr-FR"/>
        </w:rPr>
      </w:pPr>
    </w:p>
    <w:p w14:paraId="1FB9F654" w14:textId="77777777" w:rsidR="000147DB" w:rsidRPr="00AB6457" w:rsidRDefault="000147DB" w:rsidP="00B972B3">
      <w:pPr>
        <w:keepNext/>
        <w:keepLines/>
        <w:pageBreakBefore/>
        <w:spacing w:after="0" w:line="240" w:lineRule="auto"/>
        <w:jc w:val="center"/>
        <w:rPr>
          <w:rFonts w:eastAsia="Times New Roman" w:cs="Arial"/>
          <w:b/>
          <w:color w:val="000000"/>
        </w:rPr>
      </w:pPr>
      <w:r w:rsidRPr="00AB6457">
        <w:rPr>
          <w:b/>
          <w:color w:val="000000"/>
        </w:rPr>
        <w:lastRenderedPageBreak/>
        <w:t>I PIELIKUMS</w:t>
      </w:r>
    </w:p>
    <w:p w14:paraId="3C2BC896" w14:textId="77777777" w:rsidR="000147DB" w:rsidRPr="00AB6457" w:rsidRDefault="000147DB" w:rsidP="00B972B3">
      <w:pPr>
        <w:keepNext/>
        <w:keepLines/>
        <w:spacing w:after="0" w:line="240" w:lineRule="auto"/>
        <w:jc w:val="center"/>
        <w:rPr>
          <w:rFonts w:eastAsia="Times New Roman" w:cs="Arial"/>
          <w:b/>
          <w:bCs/>
          <w:color w:val="000000"/>
        </w:rPr>
      </w:pPr>
      <w:r w:rsidRPr="00AB6457">
        <w:rPr>
          <w:b/>
          <w:bCs/>
          <w:color w:val="000000"/>
        </w:rPr>
        <w:t>Pamatprasības attiecībā uz iepakojuma sastāvu un īpašībām, kas ļauj to atkārtoti izmantot un reģenerēt (jo īpaši reciklēt)</w:t>
      </w:r>
    </w:p>
    <w:p w14:paraId="76BAF4AF" w14:textId="77777777" w:rsidR="000147DB" w:rsidRPr="00AB6457" w:rsidRDefault="000147DB" w:rsidP="00B972B3">
      <w:pPr>
        <w:keepNext/>
        <w:keepLines/>
        <w:spacing w:after="0" w:line="240" w:lineRule="auto"/>
        <w:jc w:val="center"/>
        <w:rPr>
          <w:rFonts w:eastAsia="Times New Roman" w:cs="Arial"/>
          <w:color w:val="000000"/>
          <w:lang w:eastAsia="fr-FR"/>
        </w:rPr>
      </w:pPr>
    </w:p>
    <w:p w14:paraId="7D49E7BD" w14:textId="77777777" w:rsidR="000147DB" w:rsidRPr="00AB6457" w:rsidRDefault="000147DB" w:rsidP="00B972B3">
      <w:pPr>
        <w:keepNext/>
        <w:keepLines/>
        <w:spacing w:after="0" w:line="240" w:lineRule="auto"/>
        <w:jc w:val="center"/>
        <w:rPr>
          <w:rFonts w:eastAsia="Times New Roman" w:cs="Arial"/>
        </w:rPr>
      </w:pPr>
      <w:r w:rsidRPr="00AB6457">
        <w:rPr>
          <w:b/>
          <w:bCs/>
        </w:rPr>
        <w:t>1) Prasības attiecībā uz iepakojuma ražošanu un sastāvu</w:t>
      </w:r>
    </w:p>
    <w:p w14:paraId="174C3BC4" w14:textId="77777777" w:rsidR="000147DB" w:rsidRPr="00AB6457" w:rsidRDefault="000147DB" w:rsidP="000147DB">
      <w:pPr>
        <w:spacing w:after="0" w:line="240" w:lineRule="auto"/>
        <w:jc w:val="both"/>
        <w:rPr>
          <w:rFonts w:eastAsia="Times New Roman" w:cs="Arial"/>
          <w:color w:val="000000"/>
        </w:rPr>
      </w:pPr>
      <w:r w:rsidRPr="00AB6457">
        <w:rPr>
          <w:color w:val="000000"/>
        </w:rPr>
        <w:t>a) Iepakojumu ražo tā, lai ierobežotu tā tilpumu un svaru līdz minimumam, kas vajadzīgs, lai nodrošinātu nepieciešamo drošības, higiēnas un pieņemamības līmeni gan iepakotajam produktam, gan patērētājam.</w:t>
      </w:r>
    </w:p>
    <w:p w14:paraId="629D9CA7" w14:textId="17BC5018" w:rsidR="000147DB" w:rsidRPr="00AB6457" w:rsidRDefault="000147DB" w:rsidP="000147DB">
      <w:pPr>
        <w:autoSpaceDE w:val="0"/>
        <w:autoSpaceDN w:val="0"/>
        <w:adjustRightInd w:val="0"/>
        <w:spacing w:after="0"/>
        <w:jc w:val="both"/>
        <w:rPr>
          <w:rFonts w:cs="TimesNewRoman"/>
          <w:color w:val="FF0000"/>
          <w:sz w:val="24"/>
          <w:szCs w:val="24"/>
        </w:rPr>
      </w:pPr>
      <w:r w:rsidRPr="00AB6457">
        <w:rPr>
          <w:color w:val="FF0000"/>
          <w:sz w:val="24"/>
          <w:szCs w:val="24"/>
        </w:rPr>
        <w:t>b) Iepakojumu izstrādā, ražo un tirgo tā, lai to varētu atkārtoti izmantot vai reģenerēt, tostarp reciklēt, saskaņā ar atkritumu hierarhiju un lai pēc iespējas samazinātu tā ietekmi uz vidi, iznīcinot izlietoto iepakojumu vai atlikumus, ko rada izlietotā iepakojuma apsaimniekošanas darbības. </w:t>
      </w:r>
    </w:p>
    <w:p w14:paraId="538F9353" w14:textId="77777777" w:rsidR="000147DB" w:rsidRPr="00AB6457" w:rsidRDefault="000147DB" w:rsidP="000147DB">
      <w:pPr>
        <w:spacing w:after="0" w:line="240" w:lineRule="auto"/>
        <w:jc w:val="both"/>
        <w:rPr>
          <w:rFonts w:eastAsia="Times New Roman" w:cs="Arial"/>
          <w:strike/>
          <w:color w:val="FF0000"/>
          <w:lang w:eastAsia="fr-FR"/>
        </w:rPr>
      </w:pPr>
    </w:p>
    <w:p w14:paraId="4613BD21" w14:textId="77777777" w:rsidR="000147DB" w:rsidRPr="00AB6457" w:rsidRDefault="000147DB" w:rsidP="000147DB">
      <w:pPr>
        <w:spacing w:after="0" w:line="240" w:lineRule="auto"/>
        <w:jc w:val="both"/>
        <w:rPr>
          <w:rFonts w:eastAsia="Times New Roman" w:cs="Arial"/>
          <w:strike/>
          <w:color w:val="FF0000"/>
          <w:lang w:eastAsia="fr-FR"/>
        </w:rPr>
      </w:pPr>
    </w:p>
    <w:p w14:paraId="7E4B7CFE" w14:textId="77777777" w:rsidR="000147DB" w:rsidRPr="00AB6457" w:rsidRDefault="000147DB" w:rsidP="000147DB">
      <w:pPr>
        <w:spacing w:after="0" w:line="240" w:lineRule="auto"/>
        <w:jc w:val="both"/>
        <w:rPr>
          <w:rFonts w:eastAsia="Times New Roman" w:cs="Arial"/>
          <w:color w:val="000000"/>
        </w:rPr>
      </w:pPr>
      <w:r w:rsidRPr="00AB6457">
        <w:rPr>
          <w:color w:val="000000"/>
        </w:rPr>
        <w:t>c) Iepakojumu ražo, cenšoties pēc iespējas samazināt kaitīgo vielu un materiālu, kā arī citu bīstamo vielu saturu iepakojuma materiālā un tā daļās, ņemot vērā šo vielu klātbūtni emisijās, pelnos vai izskalojumos, ko izraisa iepakojuma vai atlikumu, ko rada izlietotā iepakojuma apsaimniekošanas darbības, incinerācija vai apglabāšana atkritumu poligonā.</w:t>
      </w:r>
    </w:p>
    <w:p w14:paraId="31070C98" w14:textId="77777777" w:rsidR="000147DB" w:rsidRPr="00AB6457" w:rsidRDefault="000147DB" w:rsidP="000147DB">
      <w:pPr>
        <w:spacing w:after="0" w:line="240" w:lineRule="auto"/>
        <w:rPr>
          <w:rFonts w:eastAsia="Times New Roman" w:cs="Arial"/>
          <w:color w:val="000000"/>
          <w:lang w:eastAsia="fr-FR"/>
        </w:rPr>
      </w:pPr>
    </w:p>
    <w:p w14:paraId="767AE17B" w14:textId="77777777" w:rsidR="000147DB" w:rsidRPr="00AB6457" w:rsidRDefault="000147DB" w:rsidP="00B972B3">
      <w:pPr>
        <w:keepNext/>
        <w:keepLines/>
        <w:spacing w:after="0" w:line="240" w:lineRule="auto"/>
        <w:jc w:val="center"/>
        <w:rPr>
          <w:rFonts w:eastAsia="Times New Roman" w:cs="Arial"/>
          <w:color w:val="000000"/>
        </w:rPr>
      </w:pPr>
      <w:r w:rsidRPr="00AB6457">
        <w:rPr>
          <w:b/>
          <w:bCs/>
          <w:color w:val="000000"/>
        </w:rPr>
        <w:t>2) Prasības attiecībā uz iepakojuma atkārtotu izmantošanu</w:t>
      </w:r>
    </w:p>
    <w:p w14:paraId="632929B6" w14:textId="77777777" w:rsidR="000147DB" w:rsidRPr="00AB6457" w:rsidRDefault="000147DB" w:rsidP="00B972B3">
      <w:pPr>
        <w:keepNext/>
        <w:keepLines/>
        <w:spacing w:after="0" w:line="240" w:lineRule="auto"/>
        <w:jc w:val="both"/>
        <w:rPr>
          <w:rFonts w:eastAsia="Times New Roman" w:cs="Arial"/>
          <w:color w:val="000000"/>
        </w:rPr>
      </w:pPr>
      <w:r w:rsidRPr="00AB6457">
        <w:rPr>
          <w:color w:val="000000"/>
        </w:rPr>
        <w:t>Iepakojumam jāatbilst visām šādām prasībām:</w:t>
      </w:r>
    </w:p>
    <w:p w14:paraId="3D32190A" w14:textId="77777777" w:rsidR="000147DB" w:rsidRPr="00AB6457" w:rsidRDefault="000147DB" w:rsidP="000147DB">
      <w:pPr>
        <w:spacing w:after="0" w:line="240" w:lineRule="auto"/>
        <w:jc w:val="both"/>
        <w:rPr>
          <w:rFonts w:eastAsia="Times New Roman" w:cs="Arial"/>
          <w:color w:val="000000"/>
        </w:rPr>
      </w:pPr>
      <w:r w:rsidRPr="00AB6457">
        <w:rPr>
          <w:color w:val="000000"/>
        </w:rPr>
        <w:t>a) tā fizikālās īpašības un raksturlielumi ļauj izturēt vairākas lietošanas reizes vai rotācijas normāli paredzamos lietošanas apstākļos;</w:t>
      </w:r>
    </w:p>
    <w:p w14:paraId="45F75A04" w14:textId="77777777" w:rsidR="000147DB" w:rsidRPr="00AB6457" w:rsidRDefault="000147DB" w:rsidP="000147DB">
      <w:pPr>
        <w:spacing w:after="0" w:line="240" w:lineRule="auto"/>
        <w:jc w:val="both"/>
        <w:rPr>
          <w:rFonts w:eastAsia="Times New Roman" w:cs="Arial"/>
          <w:color w:val="000000"/>
        </w:rPr>
      </w:pPr>
      <w:r w:rsidRPr="00AB6457">
        <w:rPr>
          <w:color w:val="000000"/>
        </w:rPr>
        <w:t>b) izmantoto iepakojumu ir iespējams apstrādāt, lai izpildītu veselības un drošības prasības attiecībā uz darba ņēmējiem;</w:t>
      </w:r>
    </w:p>
    <w:p w14:paraId="3D452CEF" w14:textId="77777777" w:rsidR="000147DB" w:rsidRPr="00AB6457" w:rsidRDefault="000147DB" w:rsidP="000147DB">
      <w:pPr>
        <w:spacing w:after="0" w:line="240" w:lineRule="auto"/>
        <w:jc w:val="both"/>
        <w:rPr>
          <w:rFonts w:eastAsia="Times New Roman" w:cs="Arial"/>
          <w:color w:val="000000"/>
        </w:rPr>
      </w:pPr>
      <w:r w:rsidRPr="00AB6457">
        <w:rPr>
          <w:color w:val="000000"/>
        </w:rPr>
        <w:t>c) ir izpildītas prasības attiecībā uz reģenerējamo iepakojumu brīdī, kad iepakojumu pārstāj atkārtoti izmantot, tam tādējādi kļūstot par atkritumiem.</w:t>
      </w:r>
    </w:p>
    <w:p w14:paraId="21D9B2BB" w14:textId="77777777" w:rsidR="000147DB" w:rsidRPr="00AB6457" w:rsidRDefault="000147DB" w:rsidP="000147DB">
      <w:pPr>
        <w:spacing w:after="0" w:line="240" w:lineRule="auto"/>
        <w:rPr>
          <w:rFonts w:eastAsia="Times New Roman" w:cs="Arial"/>
          <w:color w:val="000000"/>
          <w:lang w:eastAsia="fr-FR"/>
        </w:rPr>
      </w:pPr>
    </w:p>
    <w:p w14:paraId="37AA649C" w14:textId="77777777" w:rsidR="000147DB" w:rsidRPr="00AB6457" w:rsidRDefault="000147DB" w:rsidP="00B972B3">
      <w:pPr>
        <w:keepNext/>
        <w:keepLines/>
        <w:spacing w:after="0" w:line="240" w:lineRule="auto"/>
        <w:jc w:val="center"/>
        <w:rPr>
          <w:rFonts w:eastAsia="Times New Roman" w:cs="Arial"/>
          <w:b/>
          <w:bCs/>
          <w:iCs/>
          <w:color w:val="000000"/>
        </w:rPr>
      </w:pPr>
      <w:r w:rsidRPr="00AB6457">
        <w:rPr>
          <w:b/>
          <w:bCs/>
          <w:iCs/>
          <w:color w:val="000000"/>
        </w:rPr>
        <w:t>3) Prasības attiecībā uz iepakojuma reģenerējamību</w:t>
      </w:r>
    </w:p>
    <w:p w14:paraId="1EE282C0" w14:textId="77777777" w:rsidR="000147DB" w:rsidRPr="00AB6457" w:rsidRDefault="000147DB" w:rsidP="00B972B3">
      <w:pPr>
        <w:keepNext/>
        <w:keepLines/>
        <w:spacing w:after="0" w:line="240" w:lineRule="auto"/>
        <w:jc w:val="both"/>
        <w:rPr>
          <w:rFonts w:eastAsia="Times New Roman" w:cs="Arial"/>
          <w:color w:val="000000"/>
        </w:rPr>
      </w:pPr>
      <w:r w:rsidRPr="00AB6457">
        <w:rPr>
          <w:color w:val="000000"/>
        </w:rPr>
        <w:t xml:space="preserve">a) Iepakojums, ko var reģenerēt, reciklējot materiālus </w:t>
      </w:r>
    </w:p>
    <w:p w14:paraId="72BEBD90" w14:textId="77777777" w:rsidR="000147DB" w:rsidRPr="00AB6457" w:rsidRDefault="000147DB" w:rsidP="000147DB">
      <w:pPr>
        <w:spacing w:after="0" w:line="240" w:lineRule="auto"/>
        <w:jc w:val="both"/>
        <w:rPr>
          <w:rFonts w:eastAsia="Times New Roman" w:cs="Arial"/>
          <w:color w:val="000000"/>
        </w:rPr>
      </w:pPr>
      <w:r w:rsidRPr="00AB6457">
        <w:rPr>
          <w:color w:val="000000"/>
        </w:rPr>
        <w:t>Iepakojumam jābūt izgatavotam tā, lai izmantoto materiālu noteiktu svara procentuālo daļu varētu reciklēt, saražojot tirdzniecībai derīgas preces saskaņā ar Eiropas Savienībā spēkā esošajiem standartiem. Šīs procentuālās daļas lielums var mainīties atkarībā no iepakojuma materiāla veida.</w:t>
      </w:r>
    </w:p>
    <w:p w14:paraId="1A7B37E6" w14:textId="77777777" w:rsidR="000147DB" w:rsidRPr="00AB6457" w:rsidRDefault="000147DB" w:rsidP="00B972B3">
      <w:pPr>
        <w:keepNext/>
        <w:keepLines/>
        <w:spacing w:after="0" w:line="240" w:lineRule="auto"/>
        <w:jc w:val="both"/>
        <w:rPr>
          <w:rFonts w:eastAsia="Times New Roman" w:cs="Arial"/>
          <w:color w:val="000000"/>
        </w:rPr>
      </w:pPr>
      <w:r w:rsidRPr="00AB6457">
        <w:rPr>
          <w:color w:val="000000"/>
        </w:rPr>
        <w:t xml:space="preserve">b) Iepakojums, ko var reģenerēt, iegūstot enerģiju </w:t>
      </w:r>
    </w:p>
    <w:p w14:paraId="041C2C54" w14:textId="77777777" w:rsidR="000147DB" w:rsidRPr="00AB6457" w:rsidRDefault="000147DB" w:rsidP="000147DB">
      <w:pPr>
        <w:spacing w:after="0" w:line="240" w:lineRule="auto"/>
        <w:jc w:val="both"/>
        <w:rPr>
          <w:rFonts w:eastAsia="Times New Roman" w:cs="Arial"/>
          <w:color w:val="000000"/>
        </w:rPr>
      </w:pPr>
      <w:r w:rsidRPr="00AB6457">
        <w:rPr>
          <w:color w:val="000000"/>
        </w:rPr>
        <w:t>Izlietotajam iepakojumam, ko apstrādā enerģijas reģenerācijas nolūkā, būs zemāka minimālā siltumspēja, tādējādi optimizējot enerģijas ieguvi.</w:t>
      </w:r>
    </w:p>
    <w:p w14:paraId="47DD47B7" w14:textId="77777777" w:rsidR="000147DB" w:rsidRPr="00AB6457" w:rsidRDefault="000147DB" w:rsidP="00B972B3">
      <w:pPr>
        <w:keepNext/>
        <w:keepLines/>
        <w:spacing w:after="0" w:line="240" w:lineRule="auto"/>
        <w:jc w:val="both"/>
        <w:rPr>
          <w:rFonts w:eastAsia="Times New Roman" w:cs="Arial"/>
          <w:color w:val="000000"/>
        </w:rPr>
      </w:pPr>
      <w:r w:rsidRPr="00AB6457">
        <w:rPr>
          <w:color w:val="000000"/>
        </w:rPr>
        <w:t xml:space="preserve">c) Iepakojums, ko var reģenerēt kompostējot </w:t>
      </w:r>
    </w:p>
    <w:p w14:paraId="0F150FF9" w14:textId="77777777" w:rsidR="000147DB" w:rsidRPr="00832CA7" w:rsidRDefault="000147DB" w:rsidP="000147DB">
      <w:pPr>
        <w:spacing w:after="0" w:line="240" w:lineRule="auto"/>
        <w:jc w:val="both"/>
        <w:rPr>
          <w:rFonts w:eastAsia="Times New Roman" w:cs="Arial"/>
          <w:color w:val="000000"/>
          <w:spacing w:val="-4"/>
        </w:rPr>
      </w:pPr>
      <w:r w:rsidRPr="00832CA7">
        <w:rPr>
          <w:color w:val="000000"/>
          <w:spacing w:val="-4"/>
        </w:rPr>
        <w:t>Izlietotajam iepakojumam, ko apstrādā kompostēšanas nolūkā, jābūt ar pietiekamu bioloģiskās noārdīšanās spēju, lai netraucētu atsevišķo savākšanu vai kompostēšanas procesu vai darbību, kurā to izmanto.</w:t>
      </w:r>
    </w:p>
    <w:p w14:paraId="36128ACA" w14:textId="77777777" w:rsidR="000147DB" w:rsidRPr="00AB6457" w:rsidRDefault="000147DB" w:rsidP="000147DB">
      <w:pPr>
        <w:spacing w:after="0" w:line="240" w:lineRule="auto"/>
        <w:jc w:val="both"/>
        <w:rPr>
          <w:rFonts w:eastAsia="Times New Roman" w:cs="Arial"/>
          <w:color w:val="000000"/>
          <w:lang w:eastAsia="fr-FR"/>
        </w:rPr>
      </w:pPr>
    </w:p>
    <w:p w14:paraId="00633E3B" w14:textId="77777777" w:rsidR="000147DB" w:rsidRPr="00AB6457" w:rsidRDefault="000147DB" w:rsidP="00B972B3">
      <w:pPr>
        <w:keepNext/>
        <w:keepLines/>
        <w:autoSpaceDE w:val="0"/>
        <w:autoSpaceDN w:val="0"/>
        <w:adjustRightInd w:val="0"/>
        <w:spacing w:after="0"/>
        <w:jc w:val="both"/>
        <w:rPr>
          <w:rFonts w:cs="TimesNewRoman"/>
          <w:color w:val="FF0000"/>
          <w:sz w:val="24"/>
          <w:szCs w:val="24"/>
        </w:rPr>
      </w:pPr>
      <w:r w:rsidRPr="00AB6457">
        <w:rPr>
          <w:color w:val="FF0000"/>
          <w:sz w:val="24"/>
          <w:szCs w:val="24"/>
        </w:rPr>
        <w:t>d) Iepakojums ar bioloģiskās noārdīšanās spēju</w:t>
      </w:r>
    </w:p>
    <w:p w14:paraId="7A56FE8C" w14:textId="77777777" w:rsidR="000147DB" w:rsidRPr="00AB6457" w:rsidRDefault="000147DB" w:rsidP="000147DB">
      <w:pPr>
        <w:autoSpaceDE w:val="0"/>
        <w:autoSpaceDN w:val="0"/>
        <w:adjustRightInd w:val="0"/>
        <w:spacing w:after="0"/>
        <w:jc w:val="both"/>
        <w:rPr>
          <w:rFonts w:cs="TimesNewRoman"/>
          <w:color w:val="FF0000"/>
          <w:sz w:val="24"/>
          <w:szCs w:val="24"/>
        </w:rPr>
      </w:pPr>
      <w:r w:rsidRPr="00AB6457">
        <w:rPr>
          <w:color w:val="FF0000"/>
          <w:sz w:val="24"/>
          <w:szCs w:val="24"/>
        </w:rPr>
        <w:t xml:space="preserve">Izlietotajam iepakojumam ar bioloģiskās noārdīšanās spēju jābūt tādam, lai tas spētu fizikāli, ķīmiski, termiski vai bioloģiski sadalīties tā, ka lielākā daļa iegūtā komposta pēc tam sadalās oglekļa dioksīdā, biomasā un ūdenī. </w:t>
      </w:r>
    </w:p>
    <w:p w14:paraId="76704C00" w14:textId="77777777" w:rsidR="000147DB" w:rsidRPr="00AB6457" w:rsidRDefault="000147DB" w:rsidP="000147DB">
      <w:pPr>
        <w:autoSpaceDE w:val="0"/>
        <w:autoSpaceDN w:val="0"/>
        <w:adjustRightInd w:val="0"/>
        <w:spacing w:after="0"/>
        <w:jc w:val="both"/>
        <w:rPr>
          <w:rFonts w:cs="TimesNewRoman"/>
          <w:sz w:val="24"/>
          <w:szCs w:val="24"/>
        </w:rPr>
      </w:pPr>
      <w:r w:rsidRPr="00AB6457">
        <w:rPr>
          <w:color w:val="FF0000"/>
          <w:sz w:val="24"/>
          <w:szCs w:val="24"/>
        </w:rPr>
        <w:t>Oksidācijas procesā noārdāmais plastmasas iepakojums netiek uzskatīts par bioloģiski noārdāmu iepakojumu.</w:t>
      </w:r>
    </w:p>
    <w:p w14:paraId="4D209010" w14:textId="77777777" w:rsidR="000147DB" w:rsidRPr="00AB6457" w:rsidRDefault="000147DB" w:rsidP="000147DB">
      <w:pPr>
        <w:autoSpaceDE w:val="0"/>
        <w:autoSpaceDN w:val="0"/>
        <w:adjustRightInd w:val="0"/>
        <w:spacing w:after="0"/>
        <w:jc w:val="both"/>
        <w:rPr>
          <w:rFonts w:cs="TimesNewRoman"/>
          <w:sz w:val="24"/>
          <w:szCs w:val="24"/>
          <w:lang w:eastAsia="fr-BE"/>
        </w:rPr>
      </w:pPr>
    </w:p>
    <w:p w14:paraId="75439D96" w14:textId="77777777" w:rsidR="000147DB" w:rsidRPr="00AB6457" w:rsidRDefault="000147DB" w:rsidP="000147DB">
      <w:pPr>
        <w:spacing w:after="0" w:line="240" w:lineRule="auto"/>
        <w:rPr>
          <w:rFonts w:eastAsia="Times New Roman" w:cs="Arial"/>
          <w:color w:val="000000"/>
          <w:lang w:eastAsia="fr-FR"/>
        </w:rPr>
      </w:pPr>
    </w:p>
    <w:p w14:paraId="3E017349" w14:textId="77777777" w:rsidR="000147DB" w:rsidRPr="00AB6457" w:rsidRDefault="000147DB" w:rsidP="000147DB">
      <w:pPr>
        <w:spacing w:after="0" w:line="240" w:lineRule="auto"/>
        <w:jc w:val="center"/>
        <w:rPr>
          <w:rFonts w:eastAsia="Times New Roman" w:cs="Arial"/>
          <w:strike/>
          <w:u w:val="single"/>
          <w:lang w:eastAsia="fr-LU"/>
        </w:rPr>
      </w:pPr>
    </w:p>
    <w:p w14:paraId="58B091A8" w14:textId="77777777" w:rsidR="000147DB" w:rsidRPr="00AB6457" w:rsidRDefault="000147DB" w:rsidP="00B972B3">
      <w:pPr>
        <w:keepNext/>
        <w:keepLines/>
        <w:spacing w:after="0" w:line="240" w:lineRule="auto"/>
        <w:jc w:val="center"/>
        <w:rPr>
          <w:rFonts w:eastAsia="Times New Roman" w:cs="Arial"/>
          <w:b/>
        </w:rPr>
      </w:pPr>
      <w:r w:rsidRPr="00AB6457">
        <w:rPr>
          <w:b/>
        </w:rPr>
        <w:t>II PIELIKUMS</w:t>
      </w:r>
    </w:p>
    <w:p w14:paraId="08D0C795" w14:textId="77777777" w:rsidR="000147DB" w:rsidRPr="00AB6457" w:rsidRDefault="000147DB" w:rsidP="00B972B3">
      <w:pPr>
        <w:keepNext/>
        <w:keepLines/>
        <w:spacing w:after="0" w:line="240" w:lineRule="auto"/>
        <w:jc w:val="center"/>
        <w:rPr>
          <w:rFonts w:eastAsia="Times New Roman" w:cs="Arial"/>
          <w:b/>
          <w:bCs/>
        </w:rPr>
      </w:pPr>
      <w:r w:rsidRPr="00AB6457">
        <w:rPr>
          <w:b/>
          <w:bCs/>
        </w:rPr>
        <w:t>Vides nolīgums</w:t>
      </w:r>
    </w:p>
    <w:p w14:paraId="4C8541AC" w14:textId="77777777" w:rsidR="000147DB" w:rsidRPr="00AB6457" w:rsidRDefault="000147DB" w:rsidP="00B972B3">
      <w:pPr>
        <w:keepNext/>
        <w:keepLines/>
        <w:spacing w:after="0" w:line="240" w:lineRule="auto"/>
        <w:jc w:val="both"/>
        <w:rPr>
          <w:rFonts w:eastAsia="Times New Roman" w:cs="Arial"/>
          <w:b/>
          <w:lang w:eastAsia="fr-LU"/>
        </w:rPr>
      </w:pPr>
    </w:p>
    <w:p w14:paraId="2F353336" w14:textId="77777777" w:rsidR="000147DB" w:rsidRPr="00AB6457" w:rsidRDefault="000147DB" w:rsidP="00B972B3">
      <w:pPr>
        <w:keepNext/>
        <w:keepLines/>
        <w:spacing w:after="0" w:line="240" w:lineRule="auto"/>
        <w:jc w:val="both"/>
        <w:rPr>
          <w:rFonts w:eastAsia="Times New Roman" w:cs="Arial"/>
        </w:rPr>
      </w:pPr>
      <w:r w:rsidRPr="00AB6457">
        <w:t>Uz vides nolīgumiem, kas paredzēti šajā likumā, attiecas turpmāk minētie noteikumi:</w:t>
      </w:r>
    </w:p>
    <w:p w14:paraId="26FA5C49" w14:textId="77777777" w:rsidR="000147DB" w:rsidRPr="00AB6457" w:rsidRDefault="000147DB" w:rsidP="000147DB">
      <w:pPr>
        <w:spacing w:after="0" w:line="240" w:lineRule="auto"/>
        <w:jc w:val="both"/>
        <w:rPr>
          <w:rFonts w:eastAsia="Times New Roman" w:cs="Arial"/>
        </w:rPr>
      </w:pPr>
      <w:r w:rsidRPr="00AB6457">
        <w:t>1) vides nolīgumos jānorāda to mērķi un darbības ilgums;</w:t>
      </w:r>
    </w:p>
    <w:p w14:paraId="6DB322CD" w14:textId="77777777" w:rsidR="000147DB" w:rsidRPr="00AB6457" w:rsidRDefault="000147DB" w:rsidP="000147DB">
      <w:pPr>
        <w:spacing w:after="0" w:line="240" w:lineRule="auto"/>
        <w:jc w:val="both"/>
        <w:rPr>
          <w:rFonts w:eastAsia="Times New Roman" w:cs="Arial"/>
        </w:rPr>
      </w:pPr>
      <w:r w:rsidRPr="00AB6457">
        <w:t>2) vides nolīgumi un to piemērošanā sasniegtie rezultāti ir publiski pieejami, un ministrs tos paziņo Eiropas Komisijai;</w:t>
      </w:r>
    </w:p>
    <w:p w14:paraId="0C4AFADA" w14:textId="77777777" w:rsidR="000147DB" w:rsidRPr="00AB6457" w:rsidRDefault="000147DB" w:rsidP="000147DB">
      <w:pPr>
        <w:spacing w:after="0" w:line="240" w:lineRule="auto"/>
        <w:jc w:val="both"/>
        <w:rPr>
          <w:rFonts w:eastAsia="Times New Roman" w:cs="Arial"/>
        </w:rPr>
      </w:pPr>
      <w:r w:rsidRPr="00AB6457">
        <w:t>3) vides nolīgumu piemērošanu regulāri kontrolē administrācija;</w:t>
      </w:r>
    </w:p>
    <w:p w14:paraId="338631B9" w14:textId="77777777" w:rsidR="000147DB" w:rsidRPr="00AB6457" w:rsidRDefault="000147DB" w:rsidP="000147DB">
      <w:pPr>
        <w:spacing w:after="0" w:line="240" w:lineRule="auto"/>
        <w:jc w:val="both"/>
        <w:rPr>
          <w:rFonts w:eastAsia="Times New Roman" w:cs="Arial"/>
        </w:rPr>
      </w:pPr>
      <w:r w:rsidRPr="00AB6457">
        <w:t>4) vides nolīgumi paredz pasākumus un soda sankcijas noteikumu neievērošanas gadījumā;</w:t>
      </w:r>
    </w:p>
    <w:p w14:paraId="3E2E4659" w14:textId="77777777" w:rsidR="000147DB" w:rsidRPr="00AB6457" w:rsidRDefault="000147DB" w:rsidP="000147DB">
      <w:pPr>
        <w:spacing w:after="0" w:line="240" w:lineRule="auto"/>
        <w:jc w:val="both"/>
        <w:rPr>
          <w:rFonts w:eastAsia="Times New Roman" w:cs="Arial"/>
        </w:rPr>
      </w:pPr>
      <w:r w:rsidRPr="00AB6457">
        <w:t>5) vides nolīgumus slēdz uz noteiktu laiku, kas nevar pārsniegt piecus gadus. Tie nav pagarināmi ar klusuciešot izteiktu piekrišanu;</w:t>
      </w:r>
    </w:p>
    <w:p w14:paraId="104D8A65" w14:textId="77777777" w:rsidR="000147DB" w:rsidRPr="00AB6457" w:rsidRDefault="000147DB" w:rsidP="000147DB">
      <w:pPr>
        <w:spacing w:after="0" w:line="240" w:lineRule="auto"/>
        <w:jc w:val="both"/>
        <w:rPr>
          <w:rFonts w:eastAsia="Times New Roman" w:cs="Arial"/>
        </w:rPr>
      </w:pPr>
      <w:r w:rsidRPr="00AB6457">
        <w:t>6) vides nolīgumu darbība izbeidzas vai nu beidzoties termiņam, uz kuru tie noslēgti, vai sasniedzot darbības mērķus, vai pusēm savstarpēji vienojoties.</w:t>
      </w:r>
    </w:p>
    <w:p w14:paraId="09C2F1CD" w14:textId="77777777" w:rsidR="000147DB" w:rsidRPr="00AB6457" w:rsidRDefault="000147DB" w:rsidP="000147DB">
      <w:pPr>
        <w:spacing w:after="0" w:line="240" w:lineRule="auto"/>
        <w:rPr>
          <w:rFonts w:eastAsia="Times New Roman" w:cs="Arial"/>
          <w:lang w:eastAsia="fr-FR"/>
        </w:rPr>
      </w:pPr>
    </w:p>
    <w:p w14:paraId="16C3064A" w14:textId="77777777" w:rsidR="000147DB" w:rsidRPr="00AB6457" w:rsidRDefault="000147DB" w:rsidP="000147DB">
      <w:pPr>
        <w:spacing w:after="0" w:line="240" w:lineRule="auto"/>
        <w:jc w:val="center"/>
        <w:rPr>
          <w:rFonts w:eastAsia="Calibri" w:cs="Arial"/>
        </w:rPr>
      </w:pPr>
    </w:p>
    <w:p w14:paraId="52D4FCEE" w14:textId="77777777" w:rsidR="000147DB" w:rsidRPr="00AB6457" w:rsidRDefault="000147DB" w:rsidP="000147DB">
      <w:pPr>
        <w:spacing w:after="200" w:line="276" w:lineRule="auto"/>
        <w:rPr>
          <w:color w:val="FF0000"/>
        </w:rPr>
      </w:pPr>
      <w:r w:rsidRPr="00AB6457">
        <w:rPr>
          <w:color w:val="FF0000"/>
        </w:rPr>
        <w:t>[..] likums</w:t>
      </w:r>
    </w:p>
    <w:p w14:paraId="4FF80B34" w14:textId="22A28547" w:rsidR="000147DB" w:rsidRPr="00AB6457" w:rsidRDefault="000147DB" w:rsidP="000147DB">
      <w:pPr>
        <w:autoSpaceDE w:val="0"/>
        <w:autoSpaceDN w:val="0"/>
        <w:adjustRightInd w:val="0"/>
        <w:spacing w:after="0"/>
        <w:jc w:val="center"/>
        <w:rPr>
          <w:rFonts w:cs="TimesNewRoman"/>
          <w:b/>
          <w:color w:val="FF0000"/>
          <w:sz w:val="24"/>
          <w:szCs w:val="24"/>
          <w:u w:val="single"/>
        </w:rPr>
      </w:pPr>
      <w:r w:rsidRPr="00AB6457">
        <w:rPr>
          <w:b/>
          <w:color w:val="FF0000"/>
          <w:sz w:val="24"/>
          <w:szCs w:val="24"/>
          <w:u w:val="single"/>
        </w:rPr>
        <w:t>III PIELIKUMS</w:t>
      </w:r>
    </w:p>
    <w:p w14:paraId="79D2B46F" w14:textId="77777777" w:rsidR="000147DB" w:rsidRPr="00AB6457" w:rsidRDefault="000147DB" w:rsidP="000147DB">
      <w:pPr>
        <w:autoSpaceDE w:val="0"/>
        <w:autoSpaceDN w:val="0"/>
        <w:adjustRightInd w:val="0"/>
        <w:spacing w:after="0"/>
        <w:jc w:val="center"/>
        <w:rPr>
          <w:rFonts w:cs="TimesNewRoman"/>
          <w:bCs/>
          <w:color w:val="FF0000"/>
          <w:sz w:val="24"/>
          <w:szCs w:val="24"/>
          <w:u w:val="single"/>
        </w:rPr>
      </w:pPr>
      <w:r w:rsidRPr="00AB6457">
        <w:rPr>
          <w:bCs/>
          <w:color w:val="FF0000"/>
          <w:sz w:val="24"/>
          <w:szCs w:val="24"/>
          <w:u w:val="single"/>
        </w:rPr>
        <w:t>Likuma 5. panta 1. punkta 1. apakšpunktā minēto augļu un dārzeņu saraksts</w:t>
      </w:r>
    </w:p>
    <w:p w14:paraId="236111C5" w14:textId="77777777" w:rsidR="000147DB" w:rsidRPr="00AB6457" w:rsidRDefault="000147DB" w:rsidP="000147DB">
      <w:pPr>
        <w:autoSpaceDE w:val="0"/>
        <w:autoSpaceDN w:val="0"/>
        <w:adjustRightInd w:val="0"/>
        <w:spacing w:after="0"/>
        <w:jc w:val="center"/>
        <w:rPr>
          <w:rFonts w:cs="TimesNewRoman"/>
          <w:bCs/>
          <w:color w:val="FF0000"/>
          <w:sz w:val="24"/>
          <w:szCs w:val="24"/>
          <w:u w:val="single"/>
          <w:lang w:eastAsia="fr-BE"/>
        </w:rPr>
      </w:pPr>
    </w:p>
    <w:tbl>
      <w:tblPr>
        <w:tblW w:w="0" w:type="auto"/>
        <w:tblLook w:val="04A0" w:firstRow="1" w:lastRow="0" w:firstColumn="1" w:lastColumn="0" w:noHBand="0" w:noVBand="1"/>
      </w:tblPr>
      <w:tblGrid>
        <w:gridCol w:w="4675"/>
        <w:gridCol w:w="4675"/>
      </w:tblGrid>
      <w:tr w:rsidR="000147DB" w:rsidRPr="00AB6457" w14:paraId="666E3C8A" w14:textId="77777777" w:rsidTr="000147DB">
        <w:tc>
          <w:tcPr>
            <w:tcW w:w="4675" w:type="dxa"/>
          </w:tcPr>
          <w:p w14:paraId="5DF36764" w14:textId="77777777" w:rsidR="000147DB" w:rsidRPr="00AB6457" w:rsidRDefault="000147DB" w:rsidP="000147DB">
            <w:pPr>
              <w:rPr>
                <w:b/>
                <w:color w:val="FF0000"/>
                <w:spacing w:val="-4"/>
              </w:rPr>
            </w:pPr>
            <w:r w:rsidRPr="00AB6457">
              <w:rPr>
                <w:b/>
                <w:color w:val="FF0000"/>
              </w:rPr>
              <w:t>Svaigi augļi</w:t>
            </w:r>
          </w:p>
        </w:tc>
        <w:tc>
          <w:tcPr>
            <w:tcW w:w="4675" w:type="dxa"/>
          </w:tcPr>
          <w:p w14:paraId="5DD24357" w14:textId="77777777" w:rsidR="000147DB" w:rsidRPr="00AB6457" w:rsidRDefault="000147DB" w:rsidP="000147DB">
            <w:pPr>
              <w:rPr>
                <w:b/>
                <w:color w:val="FF0000"/>
                <w:spacing w:val="-4"/>
              </w:rPr>
            </w:pPr>
            <w:r w:rsidRPr="00AB6457">
              <w:rPr>
                <w:b/>
                <w:color w:val="FF0000"/>
              </w:rPr>
              <w:t>Svaigi dārzeņi</w:t>
            </w:r>
          </w:p>
        </w:tc>
      </w:tr>
      <w:tr w:rsidR="000147DB" w:rsidRPr="00AB6457" w14:paraId="544C3581" w14:textId="77777777" w:rsidTr="000147DB">
        <w:tc>
          <w:tcPr>
            <w:tcW w:w="4675" w:type="dxa"/>
          </w:tcPr>
          <w:p w14:paraId="2E157577" w14:textId="77777777" w:rsidR="000147DB" w:rsidRPr="00AB6457" w:rsidRDefault="000147DB" w:rsidP="000147DB">
            <w:pPr>
              <w:rPr>
                <w:color w:val="FF0000"/>
                <w:spacing w:val="-4"/>
              </w:rPr>
            </w:pPr>
            <w:r w:rsidRPr="00AB6457">
              <w:rPr>
                <w:color w:val="FF0000"/>
              </w:rPr>
              <w:t>Ananāsi</w:t>
            </w:r>
          </w:p>
        </w:tc>
        <w:tc>
          <w:tcPr>
            <w:tcW w:w="4675" w:type="dxa"/>
          </w:tcPr>
          <w:p w14:paraId="08482F53" w14:textId="77777777" w:rsidR="000147DB" w:rsidRPr="00AB6457" w:rsidRDefault="000147DB" w:rsidP="000147DB">
            <w:pPr>
              <w:rPr>
                <w:color w:val="FF0000"/>
                <w:spacing w:val="-4"/>
              </w:rPr>
            </w:pPr>
            <w:r w:rsidRPr="00AB6457">
              <w:rPr>
                <w:color w:val="FF0000"/>
              </w:rPr>
              <w:t>Ķiploki</w:t>
            </w:r>
          </w:p>
        </w:tc>
      </w:tr>
      <w:tr w:rsidR="000147DB" w:rsidRPr="00AB6457" w14:paraId="679261B3" w14:textId="77777777" w:rsidTr="000147DB">
        <w:tc>
          <w:tcPr>
            <w:tcW w:w="4675" w:type="dxa"/>
          </w:tcPr>
          <w:p w14:paraId="0AAD721B" w14:textId="77777777" w:rsidR="000147DB" w:rsidRPr="00AB6457" w:rsidRDefault="000147DB" w:rsidP="000147DB">
            <w:pPr>
              <w:rPr>
                <w:color w:val="FF0000"/>
                <w:spacing w:val="-4"/>
              </w:rPr>
            </w:pPr>
            <w:r w:rsidRPr="00AB6457">
              <w:rPr>
                <w:color w:val="FF0000"/>
              </w:rPr>
              <w:t>Aprikozes</w:t>
            </w:r>
          </w:p>
        </w:tc>
        <w:tc>
          <w:tcPr>
            <w:tcW w:w="4675" w:type="dxa"/>
          </w:tcPr>
          <w:p w14:paraId="3AFF19ED" w14:textId="77777777" w:rsidR="000147DB" w:rsidRPr="00AB6457" w:rsidRDefault="000147DB" w:rsidP="000147DB">
            <w:pPr>
              <w:rPr>
                <w:color w:val="FF0000"/>
                <w:spacing w:val="-4"/>
              </w:rPr>
            </w:pPr>
            <w:r w:rsidRPr="00AB6457">
              <w:rPr>
                <w:color w:val="FF0000"/>
              </w:rPr>
              <w:t>Artišoki</w:t>
            </w:r>
          </w:p>
        </w:tc>
      </w:tr>
      <w:tr w:rsidR="000147DB" w:rsidRPr="00AB6457" w14:paraId="4B14EBBA" w14:textId="77777777" w:rsidTr="000147DB">
        <w:tc>
          <w:tcPr>
            <w:tcW w:w="4675" w:type="dxa"/>
          </w:tcPr>
          <w:p w14:paraId="75BB109A" w14:textId="77777777" w:rsidR="000147DB" w:rsidRPr="00AB6457" w:rsidRDefault="000147DB" w:rsidP="000147DB">
            <w:pPr>
              <w:rPr>
                <w:color w:val="FF0000"/>
                <w:spacing w:val="-4"/>
              </w:rPr>
            </w:pPr>
            <w:r w:rsidRPr="00AB6457">
              <w:rPr>
                <w:color w:val="FF0000"/>
              </w:rPr>
              <w:t xml:space="preserve">Avokado </w:t>
            </w:r>
          </w:p>
        </w:tc>
        <w:tc>
          <w:tcPr>
            <w:tcW w:w="4675" w:type="dxa"/>
          </w:tcPr>
          <w:p w14:paraId="2478D876" w14:textId="77777777" w:rsidR="000147DB" w:rsidRPr="00AB6457" w:rsidRDefault="000147DB" w:rsidP="000147DB">
            <w:pPr>
              <w:rPr>
                <w:color w:val="FF0000"/>
                <w:spacing w:val="-4"/>
              </w:rPr>
            </w:pPr>
            <w:r w:rsidRPr="00AB6457">
              <w:rPr>
                <w:color w:val="FF0000"/>
              </w:rPr>
              <w:t>Sparģeļi</w:t>
            </w:r>
          </w:p>
        </w:tc>
      </w:tr>
      <w:tr w:rsidR="000147DB" w:rsidRPr="00AB6457" w14:paraId="2BDAEE70" w14:textId="77777777" w:rsidTr="000147DB">
        <w:tc>
          <w:tcPr>
            <w:tcW w:w="4675" w:type="dxa"/>
          </w:tcPr>
          <w:p w14:paraId="7CA415A2" w14:textId="77777777" w:rsidR="000147DB" w:rsidRPr="00AB6457" w:rsidRDefault="000147DB" w:rsidP="000147DB">
            <w:pPr>
              <w:rPr>
                <w:color w:val="FF0000"/>
                <w:spacing w:val="-4"/>
              </w:rPr>
            </w:pPr>
            <w:r w:rsidRPr="00AB6457">
              <w:rPr>
                <w:color w:val="FF0000"/>
              </w:rPr>
              <w:t>Banāni</w:t>
            </w:r>
          </w:p>
        </w:tc>
        <w:tc>
          <w:tcPr>
            <w:tcW w:w="4675" w:type="dxa"/>
          </w:tcPr>
          <w:p w14:paraId="3DDEEA9A" w14:textId="77777777" w:rsidR="000147DB" w:rsidRPr="00AB6457" w:rsidRDefault="000147DB" w:rsidP="000147DB">
            <w:pPr>
              <w:rPr>
                <w:color w:val="FF0000"/>
                <w:spacing w:val="-4"/>
              </w:rPr>
            </w:pPr>
            <w:r w:rsidRPr="00AB6457">
              <w:rPr>
                <w:color w:val="FF0000"/>
              </w:rPr>
              <w:t>Baklažāni</w:t>
            </w:r>
          </w:p>
        </w:tc>
      </w:tr>
      <w:tr w:rsidR="000147DB" w:rsidRPr="00AB6457" w14:paraId="10164EE1" w14:textId="77777777" w:rsidTr="000147DB">
        <w:tc>
          <w:tcPr>
            <w:tcW w:w="4675" w:type="dxa"/>
          </w:tcPr>
          <w:p w14:paraId="08FA0606" w14:textId="77777777" w:rsidR="000147DB" w:rsidRPr="00AB6457" w:rsidRDefault="000147DB" w:rsidP="000147DB">
            <w:pPr>
              <w:rPr>
                <w:color w:val="FF0000"/>
                <w:spacing w:val="-4"/>
              </w:rPr>
            </w:pPr>
            <w:r w:rsidRPr="00AB6457">
              <w:rPr>
                <w:color w:val="FF0000"/>
              </w:rPr>
              <w:t xml:space="preserve">Karambolas </w:t>
            </w:r>
          </w:p>
        </w:tc>
        <w:tc>
          <w:tcPr>
            <w:tcW w:w="4675" w:type="dxa"/>
          </w:tcPr>
          <w:p w14:paraId="7AC5C4A8" w14:textId="77777777" w:rsidR="000147DB" w:rsidRPr="00AB6457" w:rsidRDefault="000147DB" w:rsidP="000147DB">
            <w:pPr>
              <w:rPr>
                <w:color w:val="FF0000"/>
                <w:spacing w:val="-4"/>
              </w:rPr>
            </w:pPr>
            <w:r w:rsidRPr="00AB6457">
              <w:rPr>
                <w:color w:val="FF0000"/>
              </w:rPr>
              <w:t>Bietes</w:t>
            </w:r>
          </w:p>
        </w:tc>
      </w:tr>
      <w:tr w:rsidR="000147DB" w:rsidRPr="00AB6457" w14:paraId="4B8C13E0" w14:textId="77777777" w:rsidTr="000147DB">
        <w:tc>
          <w:tcPr>
            <w:tcW w:w="4675" w:type="dxa"/>
          </w:tcPr>
          <w:p w14:paraId="42DCCC4E" w14:textId="77777777" w:rsidR="000147DB" w:rsidRPr="00AB6457" w:rsidRDefault="000147DB" w:rsidP="000147DB">
            <w:pPr>
              <w:rPr>
                <w:color w:val="FF0000"/>
                <w:spacing w:val="-4"/>
              </w:rPr>
            </w:pPr>
            <w:r w:rsidRPr="00AB6457">
              <w:rPr>
                <w:color w:val="FF0000"/>
              </w:rPr>
              <w:t>Ķirši</w:t>
            </w:r>
          </w:p>
        </w:tc>
        <w:tc>
          <w:tcPr>
            <w:tcW w:w="4675" w:type="dxa"/>
          </w:tcPr>
          <w:p w14:paraId="2B969983" w14:textId="77777777" w:rsidR="000147DB" w:rsidRPr="00AB6457" w:rsidRDefault="000147DB" w:rsidP="000147DB">
            <w:pPr>
              <w:rPr>
                <w:color w:val="FF0000"/>
                <w:spacing w:val="-4"/>
              </w:rPr>
            </w:pPr>
            <w:r w:rsidRPr="00AB6457">
              <w:rPr>
                <w:color w:val="FF0000"/>
              </w:rPr>
              <w:t xml:space="preserve">Brokoļi </w:t>
            </w:r>
          </w:p>
        </w:tc>
      </w:tr>
      <w:tr w:rsidR="000147DB" w:rsidRPr="00AB6457" w14:paraId="071FE714" w14:textId="77777777" w:rsidTr="000147DB">
        <w:tc>
          <w:tcPr>
            <w:tcW w:w="4675" w:type="dxa"/>
          </w:tcPr>
          <w:p w14:paraId="57E357AF" w14:textId="77777777" w:rsidR="000147DB" w:rsidRPr="00AB6457" w:rsidRDefault="000147DB" w:rsidP="000147DB">
            <w:pPr>
              <w:rPr>
                <w:color w:val="FF0000"/>
                <w:spacing w:val="-4"/>
              </w:rPr>
            </w:pPr>
            <w:r w:rsidRPr="00AB6457">
              <w:rPr>
                <w:color w:val="FF0000"/>
              </w:rPr>
              <w:t>Citroni</w:t>
            </w:r>
          </w:p>
        </w:tc>
        <w:tc>
          <w:tcPr>
            <w:tcW w:w="4675" w:type="dxa"/>
          </w:tcPr>
          <w:p w14:paraId="47A7B036" w14:textId="77777777" w:rsidR="000147DB" w:rsidRPr="00AB6457" w:rsidRDefault="000147DB" w:rsidP="000147DB">
            <w:pPr>
              <w:rPr>
                <w:color w:val="FF0000"/>
                <w:spacing w:val="-4"/>
              </w:rPr>
            </w:pPr>
            <w:r w:rsidRPr="00AB6457">
              <w:rPr>
                <w:color w:val="FF0000"/>
              </w:rPr>
              <w:t>Burkāni</w:t>
            </w:r>
          </w:p>
        </w:tc>
      </w:tr>
      <w:tr w:rsidR="000147DB" w:rsidRPr="00AB6457" w14:paraId="28BA8A18" w14:textId="77777777" w:rsidTr="000147DB">
        <w:tc>
          <w:tcPr>
            <w:tcW w:w="4675" w:type="dxa"/>
          </w:tcPr>
          <w:p w14:paraId="6DF0AD79" w14:textId="77777777" w:rsidR="000147DB" w:rsidRPr="00AB6457" w:rsidRDefault="000147DB" w:rsidP="000147DB">
            <w:pPr>
              <w:rPr>
                <w:color w:val="FF0000"/>
                <w:spacing w:val="-4"/>
              </w:rPr>
            </w:pPr>
            <w:r w:rsidRPr="00AB6457">
              <w:rPr>
                <w:color w:val="FF0000"/>
              </w:rPr>
              <w:t>Laimi</w:t>
            </w:r>
          </w:p>
        </w:tc>
        <w:tc>
          <w:tcPr>
            <w:tcW w:w="4675" w:type="dxa"/>
          </w:tcPr>
          <w:p w14:paraId="453BF889" w14:textId="77777777" w:rsidR="000147DB" w:rsidRPr="00AB6457" w:rsidRDefault="000147DB" w:rsidP="000147DB">
            <w:pPr>
              <w:rPr>
                <w:color w:val="FF0000"/>
                <w:spacing w:val="-4"/>
              </w:rPr>
            </w:pPr>
            <w:r w:rsidRPr="00AB6457">
              <w:rPr>
                <w:color w:val="FF0000"/>
              </w:rPr>
              <w:t>Selerijas</w:t>
            </w:r>
          </w:p>
        </w:tc>
      </w:tr>
      <w:tr w:rsidR="000147DB" w:rsidRPr="00AB6457" w14:paraId="31FC6842" w14:textId="77777777" w:rsidTr="000147DB">
        <w:tc>
          <w:tcPr>
            <w:tcW w:w="4675" w:type="dxa"/>
          </w:tcPr>
          <w:p w14:paraId="17508AE5" w14:textId="77777777" w:rsidR="000147DB" w:rsidRPr="00AB6457" w:rsidRDefault="000147DB" w:rsidP="000147DB">
            <w:pPr>
              <w:rPr>
                <w:color w:val="FF0000"/>
                <w:spacing w:val="-4"/>
              </w:rPr>
            </w:pPr>
            <w:r w:rsidRPr="00AB6457">
              <w:rPr>
                <w:color w:val="FF0000"/>
              </w:rPr>
              <w:t>Klementīni</w:t>
            </w:r>
          </w:p>
        </w:tc>
        <w:tc>
          <w:tcPr>
            <w:tcW w:w="4675" w:type="dxa"/>
          </w:tcPr>
          <w:p w14:paraId="07ED344F" w14:textId="77777777" w:rsidR="000147DB" w:rsidRPr="00AB6457" w:rsidRDefault="000147DB" w:rsidP="000147DB">
            <w:pPr>
              <w:rPr>
                <w:color w:val="FF0000"/>
                <w:spacing w:val="-4"/>
              </w:rPr>
            </w:pPr>
          </w:p>
        </w:tc>
      </w:tr>
      <w:tr w:rsidR="000147DB" w:rsidRPr="00AB6457" w14:paraId="6CB8CA75" w14:textId="77777777" w:rsidTr="000147DB">
        <w:tc>
          <w:tcPr>
            <w:tcW w:w="4675" w:type="dxa"/>
          </w:tcPr>
          <w:p w14:paraId="3B38703D" w14:textId="77777777" w:rsidR="000147DB" w:rsidRPr="00AB6457" w:rsidRDefault="000147DB" w:rsidP="000147DB">
            <w:pPr>
              <w:rPr>
                <w:color w:val="FF0000"/>
                <w:spacing w:val="-4"/>
              </w:rPr>
            </w:pPr>
            <w:r w:rsidRPr="00AB6457">
              <w:rPr>
                <w:color w:val="FF0000"/>
              </w:rPr>
              <w:t>Cidonijas</w:t>
            </w:r>
          </w:p>
        </w:tc>
        <w:tc>
          <w:tcPr>
            <w:tcW w:w="4675" w:type="dxa"/>
          </w:tcPr>
          <w:p w14:paraId="7F3699D7" w14:textId="77777777" w:rsidR="000147DB" w:rsidRPr="00AB6457" w:rsidRDefault="000147DB" w:rsidP="000147DB">
            <w:pPr>
              <w:rPr>
                <w:color w:val="FF0000"/>
                <w:spacing w:val="-4"/>
              </w:rPr>
            </w:pPr>
            <w:r w:rsidRPr="00AB6457">
              <w:rPr>
                <w:color w:val="FF0000"/>
              </w:rPr>
              <w:t>Briseles kāposti</w:t>
            </w:r>
          </w:p>
        </w:tc>
      </w:tr>
      <w:tr w:rsidR="000147DB" w:rsidRPr="00AB6457" w14:paraId="33415833" w14:textId="77777777" w:rsidTr="000147DB">
        <w:tc>
          <w:tcPr>
            <w:tcW w:w="4675" w:type="dxa"/>
          </w:tcPr>
          <w:p w14:paraId="083BE65D" w14:textId="77777777" w:rsidR="000147DB" w:rsidRPr="00AB6457" w:rsidRDefault="000147DB" w:rsidP="000147DB">
            <w:pPr>
              <w:rPr>
                <w:color w:val="FF0000"/>
                <w:spacing w:val="-4"/>
              </w:rPr>
            </w:pPr>
            <w:r w:rsidRPr="00AB6457">
              <w:rPr>
                <w:color w:val="FF0000"/>
              </w:rPr>
              <w:t>Vīģes</w:t>
            </w:r>
          </w:p>
        </w:tc>
        <w:tc>
          <w:tcPr>
            <w:tcW w:w="4675" w:type="dxa"/>
          </w:tcPr>
          <w:p w14:paraId="7D013B00" w14:textId="77777777" w:rsidR="000147DB" w:rsidRPr="00AB6457" w:rsidRDefault="000147DB" w:rsidP="000147DB">
            <w:pPr>
              <w:rPr>
                <w:color w:val="FF0000"/>
                <w:spacing w:val="-4"/>
              </w:rPr>
            </w:pPr>
            <w:r w:rsidRPr="00AB6457">
              <w:rPr>
                <w:color w:val="FF0000"/>
              </w:rPr>
              <w:t xml:space="preserve">Ziedkāposti </w:t>
            </w:r>
          </w:p>
        </w:tc>
      </w:tr>
      <w:tr w:rsidR="000147DB" w:rsidRPr="00AB6457" w14:paraId="18ACD985" w14:textId="77777777" w:rsidTr="000147DB">
        <w:tc>
          <w:tcPr>
            <w:tcW w:w="4675" w:type="dxa"/>
          </w:tcPr>
          <w:p w14:paraId="6CE17743" w14:textId="77777777" w:rsidR="000147DB" w:rsidRPr="00AB6457" w:rsidRDefault="000147DB" w:rsidP="000147DB">
            <w:pPr>
              <w:rPr>
                <w:color w:val="FF0000"/>
                <w:spacing w:val="-4"/>
              </w:rPr>
            </w:pPr>
            <w:r w:rsidRPr="00AB6457">
              <w:rPr>
                <w:color w:val="FF0000"/>
              </w:rPr>
              <w:t>Pasifloru augļi</w:t>
            </w:r>
          </w:p>
        </w:tc>
        <w:tc>
          <w:tcPr>
            <w:tcW w:w="4675" w:type="dxa"/>
          </w:tcPr>
          <w:p w14:paraId="20A94445" w14:textId="77777777" w:rsidR="000147DB" w:rsidRPr="00AB6457" w:rsidRDefault="000147DB" w:rsidP="000147DB">
            <w:pPr>
              <w:rPr>
                <w:color w:val="FF0000"/>
                <w:spacing w:val="-4"/>
              </w:rPr>
            </w:pPr>
            <w:r w:rsidRPr="00AB6457">
              <w:rPr>
                <w:color w:val="FF0000"/>
              </w:rPr>
              <w:t xml:space="preserve">Kolrābji </w:t>
            </w:r>
          </w:p>
        </w:tc>
      </w:tr>
      <w:tr w:rsidR="000147DB" w:rsidRPr="00AB6457" w14:paraId="7A4B554F" w14:textId="77777777" w:rsidTr="000147DB">
        <w:tc>
          <w:tcPr>
            <w:tcW w:w="4675" w:type="dxa"/>
          </w:tcPr>
          <w:p w14:paraId="3A217D9C" w14:textId="77777777" w:rsidR="000147DB" w:rsidRPr="00AB6457" w:rsidRDefault="000147DB" w:rsidP="000147DB">
            <w:pPr>
              <w:rPr>
                <w:color w:val="FF0000"/>
                <w:spacing w:val="-4"/>
              </w:rPr>
            </w:pPr>
            <w:r w:rsidRPr="00AB6457">
              <w:rPr>
                <w:color w:val="FF0000"/>
              </w:rPr>
              <w:t xml:space="preserve">Gvajaves </w:t>
            </w:r>
          </w:p>
        </w:tc>
        <w:tc>
          <w:tcPr>
            <w:tcW w:w="4675" w:type="dxa"/>
          </w:tcPr>
          <w:p w14:paraId="31DCAFA7" w14:textId="77777777" w:rsidR="000147DB" w:rsidRPr="00AB6457" w:rsidRDefault="000147DB" w:rsidP="000147DB">
            <w:pPr>
              <w:rPr>
                <w:color w:val="FF0000"/>
                <w:spacing w:val="-4"/>
              </w:rPr>
            </w:pPr>
            <w:r w:rsidRPr="00AB6457">
              <w:rPr>
                <w:color w:val="FF0000"/>
              </w:rPr>
              <w:t>Sarkanie kāposti</w:t>
            </w:r>
          </w:p>
        </w:tc>
      </w:tr>
      <w:tr w:rsidR="000147DB" w:rsidRPr="00AB6457" w14:paraId="46EAAB4B" w14:textId="77777777" w:rsidTr="000147DB">
        <w:tc>
          <w:tcPr>
            <w:tcW w:w="4675" w:type="dxa"/>
          </w:tcPr>
          <w:p w14:paraId="3714A805" w14:textId="77777777" w:rsidR="000147DB" w:rsidRPr="00AB6457" w:rsidRDefault="000147DB" w:rsidP="000147DB">
            <w:pPr>
              <w:rPr>
                <w:color w:val="FF0000"/>
                <w:spacing w:val="-4"/>
              </w:rPr>
            </w:pPr>
            <w:r w:rsidRPr="00AB6457">
              <w:rPr>
                <w:color w:val="FF0000"/>
              </w:rPr>
              <w:t xml:space="preserve">Granātāboli </w:t>
            </w:r>
          </w:p>
        </w:tc>
        <w:tc>
          <w:tcPr>
            <w:tcW w:w="4675" w:type="dxa"/>
          </w:tcPr>
          <w:p w14:paraId="2E7E8615" w14:textId="77777777" w:rsidR="000147DB" w:rsidRPr="00AB6457" w:rsidRDefault="000147DB" w:rsidP="000147DB">
            <w:pPr>
              <w:rPr>
                <w:color w:val="FF0000"/>
                <w:spacing w:val="-4"/>
              </w:rPr>
            </w:pPr>
            <w:r w:rsidRPr="00AB6457">
              <w:rPr>
                <w:color w:val="FF0000"/>
              </w:rPr>
              <w:t>Zaļie kāposti</w:t>
            </w:r>
          </w:p>
        </w:tc>
      </w:tr>
      <w:tr w:rsidR="000147DB" w:rsidRPr="00AB6457" w14:paraId="4A8B4910" w14:textId="77777777" w:rsidTr="000147DB">
        <w:tc>
          <w:tcPr>
            <w:tcW w:w="4675" w:type="dxa"/>
          </w:tcPr>
          <w:p w14:paraId="33BA4A04" w14:textId="77777777" w:rsidR="000147DB" w:rsidRPr="00AB6457" w:rsidRDefault="000147DB" w:rsidP="000147DB">
            <w:pPr>
              <w:rPr>
                <w:color w:val="FF0000"/>
                <w:spacing w:val="-4"/>
              </w:rPr>
            </w:pPr>
            <w:r w:rsidRPr="00AB6457">
              <w:rPr>
                <w:color w:val="FF0000"/>
              </w:rPr>
              <w:t>Kivi</w:t>
            </w:r>
          </w:p>
        </w:tc>
        <w:tc>
          <w:tcPr>
            <w:tcW w:w="4675" w:type="dxa"/>
          </w:tcPr>
          <w:p w14:paraId="0CB65944" w14:textId="77777777" w:rsidR="000147DB" w:rsidRPr="00AB6457" w:rsidRDefault="000147DB" w:rsidP="000147DB">
            <w:pPr>
              <w:rPr>
                <w:color w:val="FF0000"/>
                <w:spacing w:val="-4"/>
              </w:rPr>
            </w:pPr>
            <w:r w:rsidRPr="00AB6457">
              <w:rPr>
                <w:color w:val="FF0000"/>
              </w:rPr>
              <w:t>Gurķi</w:t>
            </w:r>
          </w:p>
        </w:tc>
      </w:tr>
      <w:tr w:rsidR="000147DB" w:rsidRPr="00AB6457" w14:paraId="13ADB47D" w14:textId="77777777" w:rsidTr="000147DB">
        <w:tc>
          <w:tcPr>
            <w:tcW w:w="4675" w:type="dxa"/>
          </w:tcPr>
          <w:p w14:paraId="5C7ECFF7" w14:textId="77777777" w:rsidR="000147DB" w:rsidRPr="00AB6457" w:rsidRDefault="000147DB" w:rsidP="000147DB">
            <w:pPr>
              <w:rPr>
                <w:color w:val="FF0000"/>
                <w:spacing w:val="-4"/>
              </w:rPr>
            </w:pPr>
            <w:r w:rsidRPr="00AB6457">
              <w:rPr>
                <w:color w:val="FF0000"/>
              </w:rPr>
              <w:lastRenderedPageBreak/>
              <w:t>Ličijas</w:t>
            </w:r>
          </w:p>
        </w:tc>
        <w:tc>
          <w:tcPr>
            <w:tcW w:w="4675" w:type="dxa"/>
          </w:tcPr>
          <w:p w14:paraId="07FD18D1" w14:textId="77777777" w:rsidR="000147DB" w:rsidRPr="00AB6457" w:rsidRDefault="000147DB" w:rsidP="000147DB">
            <w:pPr>
              <w:rPr>
                <w:color w:val="FF0000"/>
                <w:spacing w:val="-4"/>
              </w:rPr>
            </w:pPr>
            <w:r w:rsidRPr="00AB6457">
              <w:rPr>
                <w:color w:val="FF0000"/>
              </w:rPr>
              <w:t>Parastie ķirbji</w:t>
            </w:r>
          </w:p>
        </w:tc>
      </w:tr>
      <w:tr w:rsidR="000147DB" w:rsidRPr="00AB6457" w14:paraId="5BF61E7B" w14:textId="77777777" w:rsidTr="000147DB">
        <w:tc>
          <w:tcPr>
            <w:tcW w:w="4675" w:type="dxa"/>
          </w:tcPr>
          <w:p w14:paraId="09F1D97C" w14:textId="77777777" w:rsidR="000147DB" w:rsidRPr="00AB6457" w:rsidRDefault="000147DB" w:rsidP="000147DB">
            <w:pPr>
              <w:rPr>
                <w:color w:val="FF0000"/>
                <w:spacing w:val="-4"/>
              </w:rPr>
            </w:pPr>
            <w:r w:rsidRPr="00AB6457">
              <w:rPr>
                <w:color w:val="FF0000"/>
              </w:rPr>
              <w:t>Mandarīni</w:t>
            </w:r>
          </w:p>
        </w:tc>
        <w:tc>
          <w:tcPr>
            <w:tcW w:w="4675" w:type="dxa"/>
          </w:tcPr>
          <w:p w14:paraId="1E3114C2" w14:textId="77777777" w:rsidR="000147DB" w:rsidRPr="00AB6457" w:rsidRDefault="000147DB" w:rsidP="000147DB">
            <w:pPr>
              <w:rPr>
                <w:color w:val="FF0000"/>
                <w:spacing w:val="-4"/>
              </w:rPr>
            </w:pPr>
            <w:r w:rsidRPr="00AB6457">
              <w:rPr>
                <w:color w:val="FF0000"/>
              </w:rPr>
              <w:t xml:space="preserve">Kabači </w:t>
            </w:r>
          </w:p>
        </w:tc>
      </w:tr>
      <w:tr w:rsidR="000147DB" w:rsidRPr="00AB6457" w14:paraId="058BE4ED" w14:textId="77777777" w:rsidTr="000147DB">
        <w:tc>
          <w:tcPr>
            <w:tcW w:w="4675" w:type="dxa"/>
          </w:tcPr>
          <w:p w14:paraId="0BFC43E1" w14:textId="77777777" w:rsidR="000147DB" w:rsidRPr="00AB6457" w:rsidRDefault="000147DB" w:rsidP="000147DB">
            <w:pPr>
              <w:rPr>
                <w:color w:val="FF0000"/>
                <w:spacing w:val="-4"/>
              </w:rPr>
            </w:pPr>
            <w:r w:rsidRPr="00AB6457">
              <w:rPr>
                <w:color w:val="FF0000"/>
              </w:rPr>
              <w:t>Mango</w:t>
            </w:r>
          </w:p>
        </w:tc>
        <w:tc>
          <w:tcPr>
            <w:tcW w:w="4675" w:type="dxa"/>
          </w:tcPr>
          <w:p w14:paraId="67C4D77E" w14:textId="77777777" w:rsidR="000147DB" w:rsidRPr="00AB6457" w:rsidRDefault="000147DB" w:rsidP="000147DB">
            <w:pPr>
              <w:rPr>
                <w:color w:val="FF0000"/>
                <w:spacing w:val="-4"/>
              </w:rPr>
            </w:pPr>
            <w:r w:rsidRPr="00AB6457">
              <w:rPr>
                <w:color w:val="FF0000"/>
              </w:rPr>
              <w:t xml:space="preserve">Pupas </w:t>
            </w:r>
          </w:p>
        </w:tc>
      </w:tr>
      <w:tr w:rsidR="000147DB" w:rsidRPr="00AB6457" w14:paraId="66E9EB65" w14:textId="77777777" w:rsidTr="000147DB">
        <w:tc>
          <w:tcPr>
            <w:tcW w:w="4675" w:type="dxa"/>
          </w:tcPr>
          <w:p w14:paraId="62DA1E01" w14:textId="77777777" w:rsidR="000147DB" w:rsidRPr="00AB6457" w:rsidRDefault="000147DB" w:rsidP="000147DB">
            <w:pPr>
              <w:rPr>
                <w:color w:val="FF0000"/>
                <w:spacing w:val="-4"/>
              </w:rPr>
            </w:pPr>
            <w:r w:rsidRPr="00AB6457">
              <w:rPr>
                <w:color w:val="FF0000"/>
              </w:rPr>
              <w:t>Melones</w:t>
            </w:r>
          </w:p>
        </w:tc>
        <w:tc>
          <w:tcPr>
            <w:tcW w:w="4675" w:type="dxa"/>
          </w:tcPr>
          <w:p w14:paraId="64BDF842" w14:textId="77777777" w:rsidR="000147DB" w:rsidRPr="00AB6457" w:rsidRDefault="000147DB" w:rsidP="000147DB">
            <w:pPr>
              <w:rPr>
                <w:color w:val="FF0000"/>
                <w:spacing w:val="-4"/>
              </w:rPr>
            </w:pPr>
            <w:r w:rsidRPr="00AB6457">
              <w:rPr>
                <w:color w:val="FF0000"/>
              </w:rPr>
              <w:t>Lapu cigoriņi</w:t>
            </w:r>
          </w:p>
        </w:tc>
      </w:tr>
      <w:tr w:rsidR="000147DB" w:rsidRPr="00AB6457" w14:paraId="44E6EB14" w14:textId="77777777" w:rsidTr="000147DB">
        <w:tc>
          <w:tcPr>
            <w:tcW w:w="4675" w:type="dxa"/>
          </w:tcPr>
          <w:p w14:paraId="36F85F5A" w14:textId="77777777" w:rsidR="000147DB" w:rsidRPr="00AB6457" w:rsidRDefault="000147DB" w:rsidP="000147DB">
            <w:pPr>
              <w:rPr>
                <w:color w:val="FF0000"/>
                <w:spacing w:val="-4"/>
              </w:rPr>
            </w:pPr>
            <w:r w:rsidRPr="00AB6457">
              <w:rPr>
                <w:color w:val="FF0000"/>
              </w:rPr>
              <w:t>Mājas plūmes</w:t>
            </w:r>
          </w:p>
        </w:tc>
        <w:tc>
          <w:tcPr>
            <w:tcW w:w="4675" w:type="dxa"/>
          </w:tcPr>
          <w:p w14:paraId="716EDB7B" w14:textId="77777777" w:rsidR="000147DB" w:rsidRPr="00AB6457" w:rsidRDefault="000147DB" w:rsidP="000147DB">
            <w:pPr>
              <w:rPr>
                <w:color w:val="FF0000"/>
                <w:spacing w:val="-4"/>
              </w:rPr>
            </w:pPr>
            <w:r w:rsidRPr="00AB6457">
              <w:rPr>
                <w:color w:val="FF0000"/>
              </w:rPr>
              <w:t>Fenhelis</w:t>
            </w:r>
          </w:p>
        </w:tc>
      </w:tr>
      <w:tr w:rsidR="000147DB" w:rsidRPr="00AB6457" w14:paraId="4F4FE624" w14:textId="77777777" w:rsidTr="000147DB">
        <w:tc>
          <w:tcPr>
            <w:tcW w:w="4675" w:type="dxa"/>
          </w:tcPr>
          <w:p w14:paraId="69D53F98" w14:textId="77777777" w:rsidR="000147DB" w:rsidRPr="00AB6457" w:rsidRDefault="000147DB" w:rsidP="000147DB">
            <w:pPr>
              <w:rPr>
                <w:color w:val="FF0000"/>
                <w:spacing w:val="-4"/>
              </w:rPr>
            </w:pPr>
            <w:r w:rsidRPr="00AB6457">
              <w:rPr>
                <w:color w:val="FF0000"/>
              </w:rPr>
              <w:t>Nektarīni</w:t>
            </w:r>
          </w:p>
        </w:tc>
        <w:tc>
          <w:tcPr>
            <w:tcW w:w="4675" w:type="dxa"/>
          </w:tcPr>
          <w:p w14:paraId="34F5A88D" w14:textId="77777777" w:rsidR="000147DB" w:rsidRPr="00AB6457" w:rsidRDefault="000147DB" w:rsidP="000147DB">
            <w:pPr>
              <w:rPr>
                <w:color w:val="FF0000"/>
                <w:spacing w:val="-4"/>
              </w:rPr>
            </w:pPr>
            <w:r w:rsidRPr="00AB6457">
              <w:rPr>
                <w:color w:val="FF0000"/>
              </w:rPr>
              <w:t>Kukurūza</w:t>
            </w:r>
          </w:p>
        </w:tc>
      </w:tr>
      <w:tr w:rsidR="000147DB" w:rsidRPr="00AB6457" w14:paraId="3240DCA5" w14:textId="77777777" w:rsidTr="000147DB">
        <w:tc>
          <w:tcPr>
            <w:tcW w:w="4675" w:type="dxa"/>
          </w:tcPr>
          <w:p w14:paraId="473CC067" w14:textId="77777777" w:rsidR="000147DB" w:rsidRPr="00AB6457" w:rsidRDefault="000147DB" w:rsidP="000147DB">
            <w:pPr>
              <w:rPr>
                <w:color w:val="FF0000"/>
                <w:spacing w:val="-4"/>
              </w:rPr>
            </w:pPr>
            <w:r w:rsidRPr="00AB6457">
              <w:rPr>
                <w:color w:val="FF0000"/>
              </w:rPr>
              <w:t>Apelsīni</w:t>
            </w:r>
          </w:p>
        </w:tc>
        <w:tc>
          <w:tcPr>
            <w:tcW w:w="4675" w:type="dxa"/>
          </w:tcPr>
          <w:p w14:paraId="00AE1AA5" w14:textId="77777777" w:rsidR="000147DB" w:rsidRPr="00AB6457" w:rsidRDefault="000147DB" w:rsidP="000147DB">
            <w:pPr>
              <w:rPr>
                <w:color w:val="FF0000"/>
                <w:spacing w:val="-4"/>
              </w:rPr>
            </w:pPr>
            <w:r w:rsidRPr="00AB6457">
              <w:rPr>
                <w:color w:val="FF0000"/>
              </w:rPr>
              <w:t>Rāceņi</w:t>
            </w:r>
          </w:p>
        </w:tc>
      </w:tr>
      <w:tr w:rsidR="000147DB" w:rsidRPr="00AB6457" w14:paraId="30DFD560" w14:textId="77777777" w:rsidTr="000147DB">
        <w:tc>
          <w:tcPr>
            <w:tcW w:w="4675" w:type="dxa"/>
          </w:tcPr>
          <w:p w14:paraId="7D5D8253" w14:textId="77777777" w:rsidR="000147DB" w:rsidRPr="00AB6457" w:rsidRDefault="000147DB" w:rsidP="000147DB">
            <w:pPr>
              <w:rPr>
                <w:color w:val="FF0000"/>
                <w:spacing w:val="-4"/>
              </w:rPr>
            </w:pPr>
            <w:r w:rsidRPr="00AB6457">
              <w:rPr>
                <w:color w:val="FF0000"/>
              </w:rPr>
              <w:t>Papaijas</w:t>
            </w:r>
          </w:p>
        </w:tc>
        <w:tc>
          <w:tcPr>
            <w:tcW w:w="4675" w:type="dxa"/>
          </w:tcPr>
          <w:p w14:paraId="075DB470" w14:textId="77777777" w:rsidR="000147DB" w:rsidRPr="00AB6457" w:rsidRDefault="000147DB" w:rsidP="000147DB">
            <w:pPr>
              <w:rPr>
                <w:color w:val="FF0000"/>
                <w:spacing w:val="-4"/>
              </w:rPr>
            </w:pPr>
            <w:r w:rsidRPr="00AB6457">
              <w:rPr>
                <w:color w:val="FF0000"/>
              </w:rPr>
              <w:t>Sīpoli</w:t>
            </w:r>
          </w:p>
        </w:tc>
      </w:tr>
      <w:tr w:rsidR="000147DB" w:rsidRPr="00AB6457" w14:paraId="115E4F3A" w14:textId="77777777" w:rsidTr="000147DB">
        <w:tc>
          <w:tcPr>
            <w:tcW w:w="4675" w:type="dxa"/>
          </w:tcPr>
          <w:p w14:paraId="16098F8E" w14:textId="77777777" w:rsidR="000147DB" w:rsidRPr="00AB6457" w:rsidRDefault="000147DB" w:rsidP="000147DB">
            <w:pPr>
              <w:rPr>
                <w:color w:val="FF0000"/>
                <w:spacing w:val="-4"/>
              </w:rPr>
            </w:pPr>
          </w:p>
        </w:tc>
        <w:tc>
          <w:tcPr>
            <w:tcW w:w="4675" w:type="dxa"/>
          </w:tcPr>
          <w:p w14:paraId="07D4FF99" w14:textId="77777777" w:rsidR="000147DB" w:rsidRPr="00AB6457" w:rsidRDefault="000147DB" w:rsidP="000147DB">
            <w:pPr>
              <w:rPr>
                <w:color w:val="FF0000"/>
                <w:spacing w:val="-4"/>
              </w:rPr>
            </w:pPr>
            <w:r w:rsidRPr="00AB6457">
              <w:rPr>
                <w:color w:val="FF0000"/>
              </w:rPr>
              <w:t>Puravi</w:t>
            </w:r>
          </w:p>
        </w:tc>
      </w:tr>
      <w:tr w:rsidR="000147DB" w:rsidRPr="00AB6457" w14:paraId="09F7F61C" w14:textId="77777777" w:rsidTr="000147DB">
        <w:tc>
          <w:tcPr>
            <w:tcW w:w="4675" w:type="dxa"/>
          </w:tcPr>
          <w:p w14:paraId="6A1211D9" w14:textId="77777777" w:rsidR="000147DB" w:rsidRPr="00AB6457" w:rsidRDefault="000147DB" w:rsidP="000147DB">
            <w:pPr>
              <w:rPr>
                <w:color w:val="FF0000"/>
                <w:spacing w:val="-4"/>
              </w:rPr>
            </w:pPr>
            <w:r w:rsidRPr="00AB6457">
              <w:rPr>
                <w:color w:val="FF0000"/>
              </w:rPr>
              <w:t>Persiki</w:t>
            </w:r>
          </w:p>
        </w:tc>
        <w:tc>
          <w:tcPr>
            <w:tcW w:w="4675" w:type="dxa"/>
          </w:tcPr>
          <w:p w14:paraId="5243B15C" w14:textId="77777777" w:rsidR="000147DB" w:rsidRPr="00AB6457" w:rsidRDefault="000147DB" w:rsidP="000147DB">
            <w:pPr>
              <w:rPr>
                <w:color w:val="FF0000"/>
                <w:spacing w:val="-4"/>
              </w:rPr>
            </w:pPr>
            <w:r w:rsidRPr="00AB6457">
              <w:rPr>
                <w:color w:val="FF0000"/>
              </w:rPr>
              <w:t>Pipari</w:t>
            </w:r>
          </w:p>
        </w:tc>
      </w:tr>
      <w:tr w:rsidR="000147DB" w:rsidRPr="00AB6457" w14:paraId="6832B4B9" w14:textId="77777777" w:rsidTr="000147DB">
        <w:tc>
          <w:tcPr>
            <w:tcW w:w="4675" w:type="dxa"/>
          </w:tcPr>
          <w:p w14:paraId="08A941EE" w14:textId="77777777" w:rsidR="000147DB" w:rsidRPr="00AB6457" w:rsidRDefault="000147DB" w:rsidP="000147DB">
            <w:pPr>
              <w:rPr>
                <w:color w:val="FF0000"/>
                <w:spacing w:val="-4"/>
              </w:rPr>
            </w:pPr>
            <w:r w:rsidRPr="00AB6457">
              <w:rPr>
                <w:color w:val="FF0000"/>
              </w:rPr>
              <w:t>Fizāļi</w:t>
            </w:r>
          </w:p>
        </w:tc>
        <w:tc>
          <w:tcPr>
            <w:tcW w:w="4675" w:type="dxa"/>
          </w:tcPr>
          <w:p w14:paraId="6052EBF3" w14:textId="77777777" w:rsidR="000147DB" w:rsidRPr="00AB6457" w:rsidRDefault="000147DB" w:rsidP="000147DB">
            <w:pPr>
              <w:rPr>
                <w:color w:val="FF0000"/>
                <w:spacing w:val="-4"/>
              </w:rPr>
            </w:pPr>
            <w:r w:rsidRPr="00AB6457">
              <w:rPr>
                <w:color w:val="FF0000"/>
              </w:rPr>
              <w:t>Kartupeļi</w:t>
            </w:r>
          </w:p>
        </w:tc>
      </w:tr>
      <w:tr w:rsidR="000147DB" w:rsidRPr="00AB6457" w14:paraId="4F617AD6" w14:textId="77777777" w:rsidTr="000147DB">
        <w:tc>
          <w:tcPr>
            <w:tcW w:w="4675" w:type="dxa"/>
          </w:tcPr>
          <w:p w14:paraId="7C4C092D" w14:textId="77777777" w:rsidR="000147DB" w:rsidRPr="00AB6457" w:rsidRDefault="000147DB" w:rsidP="000147DB">
            <w:pPr>
              <w:rPr>
                <w:color w:val="FF0000"/>
                <w:spacing w:val="-4"/>
              </w:rPr>
            </w:pPr>
            <w:r w:rsidRPr="00AB6457">
              <w:rPr>
                <w:color w:val="FF0000"/>
              </w:rPr>
              <w:t>Pitahajas</w:t>
            </w:r>
          </w:p>
        </w:tc>
        <w:tc>
          <w:tcPr>
            <w:tcW w:w="4675" w:type="dxa"/>
          </w:tcPr>
          <w:p w14:paraId="0C08F9BD" w14:textId="77777777" w:rsidR="000147DB" w:rsidRPr="00AB6457" w:rsidRDefault="000147DB" w:rsidP="000147DB">
            <w:pPr>
              <w:rPr>
                <w:color w:val="FF0000"/>
                <w:spacing w:val="-4"/>
              </w:rPr>
            </w:pPr>
            <w:r w:rsidRPr="00AB6457">
              <w:rPr>
                <w:color w:val="FF0000"/>
              </w:rPr>
              <w:t>Lielaugļu ķirbji</w:t>
            </w:r>
          </w:p>
        </w:tc>
      </w:tr>
      <w:tr w:rsidR="000147DB" w:rsidRPr="00AB6457" w14:paraId="1FEFBA7A" w14:textId="77777777" w:rsidTr="000147DB">
        <w:tc>
          <w:tcPr>
            <w:tcW w:w="4675" w:type="dxa"/>
          </w:tcPr>
          <w:p w14:paraId="69B23FE7" w14:textId="77777777" w:rsidR="000147DB" w:rsidRPr="00AB6457" w:rsidRDefault="000147DB" w:rsidP="000147DB">
            <w:pPr>
              <w:rPr>
                <w:color w:val="FF0000"/>
                <w:spacing w:val="-4"/>
              </w:rPr>
            </w:pPr>
            <w:r w:rsidRPr="00AB6457">
              <w:rPr>
                <w:color w:val="FF0000"/>
              </w:rPr>
              <w:t>Hurma / Japānas hurma</w:t>
            </w:r>
          </w:p>
        </w:tc>
        <w:tc>
          <w:tcPr>
            <w:tcW w:w="4675" w:type="dxa"/>
          </w:tcPr>
          <w:p w14:paraId="764A6ACA" w14:textId="77777777" w:rsidR="000147DB" w:rsidRPr="00AB6457" w:rsidRDefault="000147DB" w:rsidP="000147DB">
            <w:pPr>
              <w:rPr>
                <w:color w:val="FF0000"/>
                <w:spacing w:val="-4"/>
              </w:rPr>
            </w:pPr>
            <w:r w:rsidRPr="00AB6457">
              <w:rPr>
                <w:color w:val="FF0000"/>
              </w:rPr>
              <w:t xml:space="preserve">Redīsi </w:t>
            </w:r>
          </w:p>
        </w:tc>
      </w:tr>
      <w:tr w:rsidR="000147DB" w:rsidRPr="00AB6457" w14:paraId="11407E0D" w14:textId="77777777" w:rsidTr="000147DB">
        <w:tc>
          <w:tcPr>
            <w:tcW w:w="4675" w:type="dxa"/>
          </w:tcPr>
          <w:p w14:paraId="4AD18DCC" w14:textId="77777777" w:rsidR="000147DB" w:rsidRPr="00AB6457" w:rsidRDefault="000147DB" w:rsidP="000147DB">
            <w:pPr>
              <w:rPr>
                <w:color w:val="FF0000"/>
                <w:spacing w:val="-4"/>
              </w:rPr>
            </w:pPr>
            <w:r w:rsidRPr="00AB6457">
              <w:rPr>
                <w:color w:val="FF0000"/>
              </w:rPr>
              <w:t>Bumbieri</w:t>
            </w:r>
          </w:p>
        </w:tc>
        <w:tc>
          <w:tcPr>
            <w:tcW w:w="4675" w:type="dxa"/>
          </w:tcPr>
          <w:p w14:paraId="64399CC8" w14:textId="77777777" w:rsidR="000147DB" w:rsidRPr="00AB6457" w:rsidRDefault="000147DB" w:rsidP="000147DB">
            <w:pPr>
              <w:rPr>
                <w:color w:val="FF0000"/>
                <w:spacing w:val="-4"/>
              </w:rPr>
            </w:pPr>
            <w:r w:rsidRPr="00AB6457">
              <w:rPr>
                <w:color w:val="FF0000"/>
              </w:rPr>
              <w:t xml:space="preserve">Rabarberi </w:t>
            </w:r>
          </w:p>
        </w:tc>
      </w:tr>
      <w:tr w:rsidR="000147DB" w:rsidRPr="00AB6457" w14:paraId="32260AF1" w14:textId="77777777" w:rsidTr="000147DB">
        <w:tc>
          <w:tcPr>
            <w:tcW w:w="4675" w:type="dxa"/>
          </w:tcPr>
          <w:p w14:paraId="72306095" w14:textId="77777777" w:rsidR="000147DB" w:rsidRPr="00AB6457" w:rsidRDefault="000147DB" w:rsidP="000147DB">
            <w:pPr>
              <w:rPr>
                <w:color w:val="FF0000"/>
                <w:spacing w:val="-4"/>
              </w:rPr>
            </w:pPr>
            <w:r w:rsidRPr="00AB6457">
              <w:rPr>
                <w:color w:val="FF0000"/>
              </w:rPr>
              <w:t>Pomelo</w:t>
            </w:r>
          </w:p>
        </w:tc>
        <w:tc>
          <w:tcPr>
            <w:tcW w:w="4675" w:type="dxa"/>
          </w:tcPr>
          <w:p w14:paraId="44F6263F" w14:textId="77777777" w:rsidR="000147DB" w:rsidRPr="00AB6457" w:rsidRDefault="000147DB" w:rsidP="000147DB">
            <w:pPr>
              <w:rPr>
                <w:color w:val="FF0000"/>
                <w:spacing w:val="-4"/>
              </w:rPr>
            </w:pPr>
            <w:r w:rsidRPr="00AB6457">
              <w:rPr>
                <w:color w:val="FF0000"/>
              </w:rPr>
              <w:t>Tomāti</w:t>
            </w:r>
          </w:p>
        </w:tc>
      </w:tr>
      <w:tr w:rsidR="000147DB" w:rsidRPr="00AB6457" w14:paraId="4EB16200" w14:textId="77777777" w:rsidTr="000147DB">
        <w:tc>
          <w:tcPr>
            <w:tcW w:w="4675" w:type="dxa"/>
          </w:tcPr>
          <w:p w14:paraId="787E8109" w14:textId="77777777" w:rsidR="000147DB" w:rsidRPr="00AB6457" w:rsidRDefault="000147DB" w:rsidP="000147DB">
            <w:pPr>
              <w:rPr>
                <w:color w:val="FF0000"/>
                <w:spacing w:val="-4"/>
              </w:rPr>
            </w:pPr>
            <w:r w:rsidRPr="00AB6457">
              <w:rPr>
                <w:color w:val="FF0000"/>
              </w:rPr>
              <w:t>Āboli</w:t>
            </w:r>
          </w:p>
        </w:tc>
        <w:tc>
          <w:tcPr>
            <w:tcW w:w="4675" w:type="dxa"/>
          </w:tcPr>
          <w:p w14:paraId="28292D08" w14:textId="77777777" w:rsidR="000147DB" w:rsidRPr="00AB6457" w:rsidRDefault="000147DB" w:rsidP="000147DB">
            <w:pPr>
              <w:rPr>
                <w:color w:val="FF0000"/>
                <w:spacing w:val="-4"/>
              </w:rPr>
            </w:pPr>
          </w:p>
        </w:tc>
      </w:tr>
      <w:tr w:rsidR="000147DB" w:rsidRPr="00AB6457" w14:paraId="22A6C632" w14:textId="77777777" w:rsidTr="000147DB">
        <w:tc>
          <w:tcPr>
            <w:tcW w:w="4675" w:type="dxa"/>
          </w:tcPr>
          <w:p w14:paraId="06096887" w14:textId="77777777" w:rsidR="000147DB" w:rsidRPr="00AB6457" w:rsidRDefault="000147DB" w:rsidP="000147DB">
            <w:pPr>
              <w:rPr>
                <w:color w:val="FF0000"/>
                <w:spacing w:val="-4"/>
              </w:rPr>
            </w:pPr>
            <w:r w:rsidRPr="00AB6457">
              <w:rPr>
                <w:color w:val="FF0000"/>
              </w:rPr>
              <w:t>Plūmes</w:t>
            </w:r>
          </w:p>
        </w:tc>
        <w:tc>
          <w:tcPr>
            <w:tcW w:w="4675" w:type="dxa"/>
          </w:tcPr>
          <w:p w14:paraId="31FBC44F" w14:textId="77777777" w:rsidR="000147DB" w:rsidRPr="00AB6457" w:rsidRDefault="000147DB" w:rsidP="000147DB">
            <w:pPr>
              <w:rPr>
                <w:color w:val="FF0000"/>
                <w:spacing w:val="-4"/>
              </w:rPr>
            </w:pPr>
          </w:p>
        </w:tc>
      </w:tr>
      <w:tr w:rsidR="000147DB" w:rsidRPr="00AB6457" w14:paraId="03FEA02E" w14:textId="77777777" w:rsidTr="000147DB">
        <w:tc>
          <w:tcPr>
            <w:tcW w:w="4675" w:type="dxa"/>
          </w:tcPr>
          <w:p w14:paraId="730E282E" w14:textId="77777777" w:rsidR="000147DB" w:rsidRPr="00AB6457" w:rsidRDefault="000147DB" w:rsidP="000147DB">
            <w:pPr>
              <w:rPr>
                <w:color w:val="FF0000"/>
                <w:spacing w:val="-4"/>
              </w:rPr>
            </w:pPr>
            <w:r w:rsidRPr="00AB6457">
              <w:rPr>
                <w:color w:val="FF0000"/>
              </w:rPr>
              <w:t>Vīnogas</w:t>
            </w:r>
          </w:p>
        </w:tc>
        <w:tc>
          <w:tcPr>
            <w:tcW w:w="4675" w:type="dxa"/>
          </w:tcPr>
          <w:p w14:paraId="01285983" w14:textId="77777777" w:rsidR="000147DB" w:rsidRPr="00AB6457" w:rsidRDefault="000147DB" w:rsidP="000147DB">
            <w:pPr>
              <w:rPr>
                <w:color w:val="FF0000"/>
                <w:spacing w:val="-4"/>
              </w:rPr>
            </w:pPr>
          </w:p>
        </w:tc>
      </w:tr>
    </w:tbl>
    <w:p w14:paraId="5A53B0EB" w14:textId="77777777" w:rsidR="000147DB" w:rsidRPr="00AB6457" w:rsidRDefault="000147DB" w:rsidP="000147DB">
      <w:pPr>
        <w:autoSpaceDE w:val="0"/>
        <w:autoSpaceDN w:val="0"/>
        <w:adjustRightInd w:val="0"/>
        <w:spacing w:after="0"/>
        <w:jc w:val="center"/>
        <w:rPr>
          <w:rFonts w:cs="TimesNewRoman"/>
          <w:color w:val="FF0000"/>
          <w:sz w:val="24"/>
          <w:szCs w:val="24"/>
          <w:u w:val="single"/>
          <w:lang w:eastAsia="fr-BE"/>
        </w:rPr>
      </w:pPr>
    </w:p>
    <w:p w14:paraId="57B71326" w14:textId="77777777" w:rsidR="000147DB" w:rsidRPr="00AB6457" w:rsidRDefault="000147DB" w:rsidP="000147DB">
      <w:pPr>
        <w:autoSpaceDE w:val="0"/>
        <w:autoSpaceDN w:val="0"/>
        <w:adjustRightInd w:val="0"/>
        <w:spacing w:after="0"/>
        <w:jc w:val="center"/>
        <w:rPr>
          <w:rFonts w:cs="TimesNewRoman"/>
          <w:color w:val="FF0000"/>
          <w:sz w:val="24"/>
          <w:szCs w:val="24"/>
          <w:lang w:eastAsia="fr-BE"/>
        </w:rPr>
      </w:pPr>
    </w:p>
    <w:p w14:paraId="25668959" w14:textId="77777777" w:rsidR="000147DB" w:rsidRPr="00AB6457" w:rsidRDefault="000147DB" w:rsidP="000147DB">
      <w:pPr>
        <w:autoSpaceDE w:val="0"/>
        <w:autoSpaceDN w:val="0"/>
        <w:adjustRightInd w:val="0"/>
        <w:spacing w:after="0"/>
        <w:rPr>
          <w:rFonts w:cs="TimesNewRoman"/>
          <w:sz w:val="24"/>
          <w:szCs w:val="24"/>
          <w:lang w:eastAsia="fr-BE"/>
        </w:rPr>
      </w:pPr>
    </w:p>
    <w:p w14:paraId="69AFEE6D" w14:textId="77777777" w:rsidR="00C660B5" w:rsidRPr="00AB6457" w:rsidRDefault="00C660B5"/>
    <w:sectPr w:rsidR="00C660B5" w:rsidRPr="00AB6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832CA7"/>
    <w:rsid w:val="00AB6457"/>
    <w:rsid w:val="00B972B3"/>
    <w:rsid w:val="00C660B5"/>
    <w:rsid w:val="00C67B48"/>
    <w:rsid w:val="00F02EEA"/>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18</Pages>
  <Words>6134</Words>
  <Characters>34967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5</cp:revision>
  <dcterms:created xsi:type="dcterms:W3CDTF">2020-07-27T11:52:00Z</dcterms:created>
  <dcterms:modified xsi:type="dcterms:W3CDTF">2020-08-12T10:00:00Z</dcterms:modified>
</cp:coreProperties>
</file>