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F328C" w14:textId="5D563B00" w:rsidR="00FE5842" w:rsidRPr="00471E09" w:rsidRDefault="00FE5842" w:rsidP="00471E09">
      <w:pPr>
        <w:spacing w:after="0" w:line="240" w:lineRule="auto"/>
        <w:rPr>
          <w:sz w:val="20"/>
          <w:szCs w:val="20"/>
          <w:rFonts w:ascii="Courier New" w:hAnsi="Courier New" w:cs="Courier New"/>
        </w:rPr>
      </w:pPr>
      <w:bookmarkStart w:id="0" w:name="_Hlk46997595"/>
      <w:r>
        <w:rPr>
          <w:sz w:val="20"/>
          <w:rFonts w:ascii="Courier New" w:hAnsi="Courier New"/>
        </w:rPr>
        <w:t xml:space="preserve">1.</w:t>
      </w:r>
      <w:r>
        <w:rPr>
          <w:sz w:val="20"/>
          <w:rFonts w:ascii="Courier New" w:hAnsi="Courier New"/>
        </w:rPr>
        <w:t xml:space="preserve"> </w:t>
      </w:r>
      <w:r>
        <w:rPr>
          <w:sz w:val="20"/>
          <w:rFonts w:ascii="Courier New" w:hAnsi="Courier New"/>
        </w:rPr>
        <w:t xml:space="preserve">------IND- 2020 0485 L-- PL- ------ 20200812 --- --- PROJET</w:t>
      </w:r>
    </w:p>
    <w:bookmarkEnd w:id="0"/>
    <w:p w14:paraId="064DCE1A" w14:textId="2EE2449E" w:rsidR="000147DB" w:rsidRPr="003E7524" w:rsidRDefault="000147DB" w:rsidP="002F5A31">
      <w:pPr>
        <w:keepNext/>
        <w:keepLines/>
        <w:spacing w:after="200" w:line="276" w:lineRule="auto"/>
        <w:jc w:val="center"/>
        <w:rPr>
          <w:b/>
          <w:sz w:val="24"/>
          <w:szCs w:val="24"/>
          <w:rFonts w:ascii="Times New Roman" w:eastAsia="Times New Roman" w:hAnsi="Times New Roman" w:cs="Times New Roman"/>
        </w:rPr>
      </w:pPr>
      <w:r>
        <w:rPr>
          <w:b/>
          <w:sz w:val="24"/>
          <w:rFonts w:ascii="Times New Roman" w:hAnsi="Times New Roman"/>
        </w:rPr>
        <w:t xml:space="preserve">Ustawa z dnia 21 marca 2017 r. o opakowaniach i gospodarowaniu odpadami opakowaniowymi</w:t>
      </w:r>
    </w:p>
    <w:p w14:paraId="71E8730A" w14:textId="77777777" w:rsidR="000147DB" w:rsidRPr="003E7524" w:rsidRDefault="000147DB" w:rsidP="002F5A31">
      <w:pPr>
        <w:keepNext/>
        <w:keepLines/>
        <w:autoSpaceDE w:val="0"/>
        <w:autoSpaceDN w:val="0"/>
        <w:adjustRightInd w:val="0"/>
        <w:spacing w:after="120" w:line="276" w:lineRule="auto"/>
        <w:jc w:val="center"/>
        <w:rPr>
          <w:b/>
          <w:sz w:val="24"/>
          <w:szCs w:val="24"/>
          <w:rFonts w:cs="Times New Roman"/>
        </w:rPr>
      </w:pPr>
      <w:r>
        <w:rPr>
          <w:b/>
          <w:sz w:val="24"/>
        </w:rPr>
        <w:t xml:space="preserve">Tekst ujednolicony</w:t>
      </w:r>
    </w:p>
    <w:p w14:paraId="7D923E4A" w14:textId="77777777" w:rsidR="000147DB" w:rsidRPr="003E7524" w:rsidRDefault="000147DB" w:rsidP="002F5A31">
      <w:pPr>
        <w:keepNext/>
        <w:keepLines/>
        <w:autoSpaceDE w:val="0"/>
        <w:autoSpaceDN w:val="0"/>
        <w:adjustRightInd w:val="0"/>
        <w:spacing w:after="120" w:line="276" w:lineRule="auto"/>
        <w:jc w:val="center"/>
        <w:rPr>
          <w:rFonts w:cs="Times New Roman"/>
          <w:b/>
          <w:sz w:val="24"/>
          <w:szCs w:val="24"/>
          <w:lang w:val="fr-LU"/>
        </w:rPr>
      </w:pPr>
    </w:p>
    <w:p w14:paraId="6E6CA03B" w14:textId="77777777" w:rsidR="000147DB" w:rsidRPr="003E7524" w:rsidRDefault="000147DB" w:rsidP="002F5A31">
      <w:pPr>
        <w:keepNext/>
        <w:keepLines/>
        <w:spacing w:after="0" w:line="240" w:lineRule="auto"/>
        <w:jc w:val="both"/>
        <w:rPr>
          <w:rFonts w:eastAsia="Times New Roman" w:cs="Arial"/>
          <w:b/>
          <w:lang w:val="fr-FR" w:eastAsia="fr-FR"/>
        </w:rPr>
      </w:pPr>
    </w:p>
    <w:p w14:paraId="584BE14E" w14:textId="77777777" w:rsidR="000147DB" w:rsidRPr="003E7524" w:rsidRDefault="000147DB" w:rsidP="002F5A31">
      <w:pPr>
        <w:keepNext/>
        <w:keepLines/>
        <w:spacing w:after="0" w:line="240" w:lineRule="auto"/>
        <w:jc w:val="both"/>
        <w:rPr>
          <w:rFonts w:eastAsia="Times New Roman" w:cs="Arial"/>
          <w:b/>
          <w:lang w:val="fr-FR" w:eastAsia="fr-FR"/>
        </w:rPr>
      </w:pPr>
    </w:p>
    <w:p w14:paraId="720F607F" w14:textId="77777777" w:rsidR="000147DB" w:rsidRPr="003E7524" w:rsidRDefault="000147DB" w:rsidP="002F5A31">
      <w:pPr>
        <w:keepNext/>
        <w:keepLines/>
        <w:spacing w:after="0" w:line="240" w:lineRule="auto"/>
        <w:jc w:val="both"/>
        <w:rPr>
          <w:rFonts w:eastAsia="Times New Roman" w:cs="Arial"/>
          <w:b/>
          <w:color w:val="FF0000"/>
          <w:lang w:val="fr-FR" w:eastAsia="fr-FR"/>
        </w:rPr>
      </w:pPr>
    </w:p>
    <w:p w14:paraId="52F5EF4E" w14:textId="77777777" w:rsidR="000147DB" w:rsidRPr="003E7524" w:rsidRDefault="000147DB" w:rsidP="002F5A31">
      <w:pPr>
        <w:keepNext/>
        <w:keepLines/>
        <w:spacing w:after="0" w:line="240" w:lineRule="auto"/>
        <w:jc w:val="both"/>
        <w:rPr>
          <w:rFonts w:eastAsia="Times New Roman" w:cs="Arial"/>
          <w:b/>
          <w:color w:val="FF0000"/>
          <w:lang w:val="fr-FR" w:eastAsia="fr-FR"/>
        </w:rPr>
      </w:pPr>
    </w:p>
    <w:p w14:paraId="3FEA7740" w14:textId="31B3FC85" w:rsidR="000147DB" w:rsidRPr="003E7524" w:rsidRDefault="000147DB" w:rsidP="002F5A31">
      <w:pPr>
        <w:keepNext/>
        <w:keepLines/>
        <w:spacing w:beforeLines="100" w:before="240" w:after="240" w:line="240" w:lineRule="auto"/>
        <w:jc w:val="both"/>
        <w:rPr>
          <w:color w:val="FF0000"/>
          <w:sz w:val="24"/>
          <w:szCs w:val="24"/>
          <w:rFonts w:eastAsia="Calibri" w:cs="TimesLTStd-Roman"/>
        </w:rPr>
      </w:pPr>
      <w:r>
        <w:rPr>
          <w:color w:val="FF0000"/>
          <w:sz w:val="24"/>
          <w:u w:val="single"/>
        </w:rPr>
        <w:t xml:space="preserve">Artykuł 1.</w:t>
      </w:r>
      <w:r>
        <w:rPr>
          <w:color w:val="FF0000"/>
          <w:sz w:val="24"/>
          <w:u w:val="single"/>
        </w:rPr>
        <w:t xml:space="preserve"> </w:t>
      </w:r>
      <w:r>
        <w:rPr>
          <w:color w:val="FF0000"/>
          <w:sz w:val="24"/>
          <w:u w:val="single"/>
        </w:rPr>
        <w:t xml:space="preserve">Cele</w:t>
      </w:r>
    </w:p>
    <w:p w14:paraId="20EDAC04" w14:textId="77777777" w:rsidR="000147DB" w:rsidRPr="003E7524" w:rsidRDefault="000147DB" w:rsidP="000147DB">
      <w:pPr>
        <w:spacing w:beforeLines="100" w:before="240" w:after="240" w:line="240" w:lineRule="auto"/>
        <w:jc w:val="both"/>
        <w:rPr>
          <w:color w:val="FF0000"/>
          <w:sz w:val="24"/>
          <w:szCs w:val="24"/>
          <w:rFonts w:eastAsia="Calibri" w:cs="TimesLTStd-Roman"/>
        </w:rPr>
      </w:pPr>
      <w:r>
        <w:rPr>
          <w:color w:val="FF0000"/>
          <w:sz w:val="24"/>
        </w:rPr>
        <w:t xml:space="preserve"> </w:t>
      </w:r>
      <w:r>
        <w:rPr>
          <w:color w:val="FF0000"/>
          <w:sz w:val="24"/>
        </w:rPr>
        <w:t xml:space="preserve">Niniejsza ustawa przewiduje środki mające na celu zapobieganie wytwarzaniu odpadów opakowaniowych jako główny priorytet, a także wielokrotne użycie i przygotowanie opakowań do ponownego wykorzystania, recykling i inne formy odzysku odpadów opakowaniowych, w tym ograniczenie końcowego usuwania takich odpadów, jako pozostałe kluczowe zasady, w ramach działań na rzecz przejścia na gospodarkę o obiegu zamkniętym.</w:t>
      </w:r>
    </w:p>
    <w:p w14:paraId="58ECE028" w14:textId="77777777" w:rsidR="000147DB" w:rsidRPr="003E7524" w:rsidRDefault="000147DB" w:rsidP="000147DB">
      <w:pPr>
        <w:spacing w:after="0" w:line="240" w:lineRule="auto"/>
        <w:jc w:val="both"/>
        <w:rPr>
          <w:rFonts w:eastAsia="Times New Roman" w:cs="Arial"/>
          <w:lang w:val="fr-FR" w:eastAsia="fr-FR"/>
        </w:rPr>
      </w:pPr>
    </w:p>
    <w:p w14:paraId="12603C0B" w14:textId="77777777" w:rsidR="000147DB" w:rsidRPr="003E7524" w:rsidRDefault="000147DB" w:rsidP="002F5A31">
      <w:pPr>
        <w:keepNext/>
        <w:keepLines/>
        <w:spacing w:after="0" w:line="240" w:lineRule="auto"/>
        <w:jc w:val="both"/>
        <w:rPr>
          <w:rFonts w:eastAsia="Times New Roman" w:cs="Arial"/>
        </w:rPr>
      </w:pPr>
      <w:r>
        <w:rPr>
          <w:b/>
        </w:rPr>
        <w:t xml:space="preserve">Artykuł 2.</w:t>
      </w:r>
      <w:r>
        <w:rPr>
          <w:b/>
        </w:rPr>
        <w:t xml:space="preserve"> </w:t>
      </w:r>
      <w:r>
        <w:rPr>
          <w:b/>
        </w:rPr>
        <w:t xml:space="preserve">Zakres stosowania</w:t>
      </w:r>
    </w:p>
    <w:p w14:paraId="10EC3FDA" w14:textId="77777777" w:rsidR="000147DB" w:rsidRPr="003E7524" w:rsidRDefault="000147DB" w:rsidP="000147DB">
      <w:pPr>
        <w:spacing w:after="0" w:line="240" w:lineRule="auto"/>
        <w:jc w:val="both"/>
        <w:rPr>
          <w:rFonts w:eastAsia="Times New Roman" w:cs="Arial"/>
        </w:rPr>
      </w:pPr>
      <w:r>
        <w:t xml:space="preserve">Niniejsza ustawa ma zastosowanie do wszystkich opakowań wprowadzanych na rynek luksemburski oraz do wszystkich odpadów opakowaniowych, używanych w przemyśle, handlu, biurach, warsztatach, punktach usługowych, gospodarstwach domowych lub w innych miejscach, bez względu na materiały, z których są wykonane.</w:t>
      </w:r>
    </w:p>
    <w:p w14:paraId="525A371B" w14:textId="77777777" w:rsidR="000147DB" w:rsidRPr="003E7524" w:rsidRDefault="000147DB" w:rsidP="000147DB">
      <w:pPr>
        <w:spacing w:after="0" w:line="240" w:lineRule="auto"/>
        <w:jc w:val="both"/>
        <w:rPr>
          <w:rFonts w:eastAsia="Times New Roman" w:cs="Arial"/>
          <w:lang w:val="fr-FR" w:eastAsia="fr-FR"/>
        </w:rPr>
      </w:pPr>
    </w:p>
    <w:p w14:paraId="6A00E764" w14:textId="77777777" w:rsidR="000147DB" w:rsidRPr="003E7524" w:rsidRDefault="000147DB" w:rsidP="000147DB">
      <w:pPr>
        <w:spacing w:after="0" w:line="240" w:lineRule="auto"/>
        <w:jc w:val="center"/>
        <w:rPr>
          <w:rFonts w:eastAsia="Calibri" w:cs="Arial"/>
          <w:color w:val="FF0000"/>
          <w:lang w:val="fr-FR"/>
        </w:rPr>
      </w:pPr>
    </w:p>
    <w:p w14:paraId="3FB9C656" w14:textId="3BDDB8AC" w:rsidR="000147DB" w:rsidRPr="003E7524" w:rsidRDefault="000147DB" w:rsidP="002F5A31">
      <w:pPr>
        <w:keepNext/>
        <w:keepLines/>
        <w:autoSpaceDE w:val="0"/>
        <w:autoSpaceDN w:val="0"/>
        <w:adjustRightInd w:val="0"/>
        <w:spacing w:after="0" w:line="240" w:lineRule="auto"/>
        <w:jc w:val="both"/>
        <w:rPr>
          <w:color w:val="FF0000"/>
          <w:sz w:val="24"/>
          <w:szCs w:val="24"/>
          <w:u w:val="single"/>
          <w:rFonts w:eastAsia="Calibri" w:cs="TimesLTStd-Roman"/>
        </w:rPr>
      </w:pPr>
      <w:r>
        <w:rPr>
          <w:color w:val="FF0000"/>
          <w:sz w:val="24"/>
          <w:u w:val="single"/>
        </w:rPr>
        <w:t xml:space="preserve">Artykuł 3.</w:t>
      </w:r>
      <w:r>
        <w:rPr>
          <w:color w:val="FF0000"/>
          <w:sz w:val="24"/>
          <w:u w:val="single"/>
        </w:rPr>
        <w:t xml:space="preserve"> </w:t>
      </w:r>
      <w:r>
        <w:rPr>
          <w:color w:val="FF0000"/>
          <w:sz w:val="24"/>
          <w:u w:val="single"/>
        </w:rPr>
        <w:t xml:space="preserve">Definicje</w:t>
      </w:r>
    </w:p>
    <w:p w14:paraId="54FAB75E"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lang w:val="fr-LU"/>
        </w:rPr>
      </w:pPr>
    </w:p>
    <w:p w14:paraId="31598118" w14:textId="77777777" w:rsidR="000147DB" w:rsidRPr="003E7524" w:rsidRDefault="000147DB" w:rsidP="002F5A31">
      <w:pPr>
        <w:keepNext/>
        <w:keepLines/>
        <w:autoSpaceDE w:val="0"/>
        <w:autoSpaceDN w:val="0"/>
        <w:adjustRightInd w:val="0"/>
        <w:spacing w:after="0" w:line="240" w:lineRule="auto"/>
        <w:jc w:val="both"/>
        <w:rPr>
          <w:color w:val="FF0000"/>
          <w:sz w:val="24"/>
          <w:szCs w:val="24"/>
          <w:rFonts w:eastAsia="Calibri" w:cs="TimesLTStd-Roman"/>
        </w:rPr>
      </w:pPr>
      <w:r>
        <w:rPr>
          <w:color w:val="FF0000"/>
          <w:sz w:val="24"/>
        </w:rPr>
        <w:t xml:space="preserve">Do celów niniejszej ustawy stosuje się następujące definicje:</w:t>
      </w:r>
    </w:p>
    <w:p w14:paraId="51BA376E"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1° „podmioty gospodarcze” oznaczają, w odniesieniu do opakowań, dostawców materiałów opakowaniowych, wytwórców, przetwórców, podmioty zajmujące się napełnianiem, użytkowników, importerów, handlowców, dystrybutorów, organy administracji publicznej i organizacje publiczne;</w:t>
      </w:r>
    </w:p>
    <w:p w14:paraId="6FED5C43"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2° „umowa dotycząca ochrony środowiska” oznacza każdą umowę formalną między ministrem właściwym do spraw ochrony środowiska, zwanym dalej „ministrem”, a podmiotami odpowiedzialnymi za opakowania lub zatwierdzonymi organizacjami, która musi być otwarta dla wszystkich podmiotów gospodarczych, które chcą stosować się do wymogów określonych w umowie, aby przyczyniać się do osiągnięcia celów określonych w art. 1;</w:t>
      </w:r>
    </w:p>
    <w:p w14:paraId="7FF9665B"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3° „pakowanie” oznacza czynność umieszczenia środka spożywczego w opakowaniu lub pojemniku mającym bezpośredni kontakt ze środkiem spożywczym, samo opakowanie lub sam pojemnik;</w:t>
      </w:r>
    </w:p>
    <w:p w14:paraId="1DD8A02E" w14:textId="77777777" w:rsidR="000147DB" w:rsidRPr="00471E09"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4° „odpad opakowaniowy” oznacza opakowanie lub materiał opakowaniowy wchodzący w zakres definicji odpadów w art. 4 zmienionej ustawy z dnia 21 marca 2012 r. o odpadach i zasobach, zwanej dalej „ustawą z dnia 21 marca 2012 r.”, z wyłączeniem pozostałości z produkcji;</w:t>
      </w:r>
    </w:p>
    <w:p w14:paraId="1A85C693" w14:textId="77777777" w:rsidR="000147DB" w:rsidRPr="003E7524" w:rsidRDefault="000147DB" w:rsidP="000147DB">
      <w:pPr>
        <w:autoSpaceDE w:val="0"/>
        <w:autoSpaceDN w:val="0"/>
        <w:adjustRightInd w:val="0"/>
        <w:spacing w:after="0" w:line="240" w:lineRule="auto"/>
        <w:jc w:val="both"/>
        <w:rPr>
          <w:b/>
          <w:color w:val="FF0000"/>
          <w:sz w:val="24"/>
          <w:szCs w:val="24"/>
          <w:rFonts w:cs="TimesLTStd-Roman"/>
        </w:rPr>
      </w:pPr>
      <w:r>
        <w:rPr>
          <w:color w:val="FF0000"/>
          <w:sz w:val="24"/>
        </w:rPr>
        <w:t xml:space="preserve">5°„odpad opakowaniowy z gospodarstw domowych” oznacza odpad opakowaniowy stanowiący odpad komunalny z gospodarstw domowych w rozumieniu ustawy z dnia 21 marca 2012 r.;</w:t>
      </w:r>
    </w:p>
    <w:p w14:paraId="191FC248"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6°„odpad opakowaniowy inny niż z gospodarstw domowych” oznacza odpad opakowaniowy stanowiący odpad komunalny inny niż z gospodarstw domowych w rozumieniu ustawy z dnia 21 marca 2012 r.;</w:t>
      </w:r>
    </w:p>
    <w:p w14:paraId="726D0591"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7° „opakowanie” oznacza produkt składający się z materiałów o dowolnym charakterze, przeznaczony do przechowywania i zabezpieczania określonych towarów, od surowców po wyroby gotowe, tak aby umożliwiać ich przemieszczanie, transport od producenta do konsumenta lub użytkownika i prezentację.</w:t>
      </w:r>
    </w:p>
    <w:p w14:paraId="5B7B7B7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2B3C84BC"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Wszystkie artykuły przeznaczone do wyrzucenia, używane w tych celach, należy uznawać za opakowania.</w:t>
      </w:r>
    </w:p>
    <w:p w14:paraId="4BBCE77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29092297" w14:textId="77777777" w:rsidR="000147DB" w:rsidRPr="003E7524" w:rsidRDefault="000147DB" w:rsidP="002F5A31">
      <w:pPr>
        <w:keepNext/>
        <w:keepLines/>
        <w:autoSpaceDE w:val="0"/>
        <w:autoSpaceDN w:val="0"/>
        <w:adjustRightInd w:val="0"/>
        <w:spacing w:after="0" w:line="240" w:lineRule="auto"/>
        <w:jc w:val="both"/>
        <w:rPr>
          <w:color w:val="FF0000"/>
          <w:sz w:val="24"/>
          <w:szCs w:val="24"/>
          <w:rFonts w:eastAsia="Calibri" w:cs="TimesLTStd-Roman"/>
        </w:rPr>
      </w:pPr>
      <w:r>
        <w:rPr>
          <w:color w:val="FF0000"/>
          <w:sz w:val="24"/>
        </w:rPr>
        <w:t xml:space="preserve">Opakowanie składa się wyłącznie z:</w:t>
      </w:r>
    </w:p>
    <w:p w14:paraId="5E80CA94" w14:textId="77777777" w:rsidR="000147DB" w:rsidRPr="003E7524" w:rsidRDefault="000147DB" w:rsidP="000147DB">
      <w:pPr>
        <w:autoSpaceDE w:val="0"/>
        <w:autoSpaceDN w:val="0"/>
        <w:adjustRightInd w:val="0"/>
        <w:spacing w:after="0" w:line="240" w:lineRule="auto"/>
        <w:ind w:left="720"/>
        <w:jc w:val="both"/>
        <w:rPr>
          <w:color w:val="FF0000"/>
          <w:sz w:val="24"/>
          <w:szCs w:val="24"/>
          <w:rFonts w:eastAsia="Calibri" w:cs="TimesLTStd-Roman"/>
        </w:rPr>
      </w:pPr>
      <w:r>
        <w:rPr>
          <w:color w:val="FF0000"/>
          <w:sz w:val="24"/>
        </w:rPr>
        <w:t xml:space="preserve">a) opakowania handlowego lub opakowania bezpośredniego, tj. opakowania zaprojektowanego w taki sposób, aby w punkcie sprzedaży stanowiło jednostkę sprzedaży dla użytkownika końcowego lub konsumenta;</w:t>
      </w:r>
    </w:p>
    <w:p w14:paraId="0DE873CC" w14:textId="77777777" w:rsidR="000147DB" w:rsidRPr="003E7524" w:rsidRDefault="000147DB" w:rsidP="000147DB">
      <w:pPr>
        <w:autoSpaceDE w:val="0"/>
        <w:autoSpaceDN w:val="0"/>
        <w:adjustRightInd w:val="0"/>
        <w:spacing w:after="0" w:line="240" w:lineRule="auto"/>
        <w:ind w:left="720"/>
        <w:jc w:val="both"/>
        <w:rPr>
          <w:color w:val="FF0000"/>
          <w:sz w:val="24"/>
          <w:szCs w:val="24"/>
          <w:rFonts w:eastAsia="Calibri" w:cs="TimesLTStd-Roman"/>
        </w:rPr>
      </w:pPr>
      <w:r>
        <w:rPr>
          <w:color w:val="FF0000"/>
          <w:sz w:val="24"/>
        </w:rPr>
        <w:t xml:space="preserve">b) opakowanie zbiorcze lub opakowanie drugorzędne, tj. opakowanie zaprojektowane w taki sposób, aby w punkcie sprzedaży stanowiło zbiór określonej liczby jednostek sprzedaży sprzedawany w takiej formie użytkownikowi końcowemu lub konsumentowi albo służyło wyłącznie do prezentowania na stojakach wystawowych w punkcie sprzedaży; opakowanie zbiorcze można usunąć z produktu bez zmiany jego właściwości;</w:t>
      </w:r>
    </w:p>
    <w:p w14:paraId="29AF1F65" w14:textId="77777777" w:rsidR="000147DB" w:rsidRPr="003E7524" w:rsidRDefault="000147DB" w:rsidP="000147DB">
      <w:pPr>
        <w:autoSpaceDE w:val="0"/>
        <w:autoSpaceDN w:val="0"/>
        <w:adjustRightInd w:val="0"/>
        <w:spacing w:after="0" w:line="240" w:lineRule="auto"/>
        <w:ind w:left="720"/>
        <w:jc w:val="both"/>
        <w:rPr>
          <w:color w:val="FF0000"/>
          <w:sz w:val="24"/>
          <w:szCs w:val="24"/>
          <w:rFonts w:eastAsia="Calibri" w:cs="TimesLTStd-Roman"/>
        </w:rPr>
      </w:pPr>
      <w:r>
        <w:rPr>
          <w:color w:val="FF0000"/>
          <w:sz w:val="24"/>
        </w:rPr>
        <w:t xml:space="preserve">c) opakowanie transportowe lub opakowanie trzeciorzędne, tj. opakowanie zaprojektowane w taki sposób, aby ułatwiać przenoszenie i transport określonej liczby jednostek sprzedaży lub opakowań zbiorczych w celu uniknięcia fizycznego kontaktu z produktem i uszkodzenia go podczas transportu.</w:t>
      </w:r>
      <w:r>
        <w:rPr>
          <w:color w:val="FF0000"/>
          <w:sz w:val="24"/>
        </w:rPr>
        <w:t xml:space="preserve"> </w:t>
      </w:r>
      <w:r>
        <w:rPr>
          <w:color w:val="FF0000"/>
          <w:sz w:val="24"/>
        </w:rPr>
        <w:t xml:space="preserve">Opakowanie transportowe nie obejmuje kontenerów do transportu drogowego, kolejowego, morskiego i powietrznego.</w:t>
      </w:r>
    </w:p>
    <w:p w14:paraId="3E5427B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3D83FF34" w14:textId="77777777" w:rsidR="000147DB" w:rsidRPr="003E7524" w:rsidRDefault="000147DB" w:rsidP="002F5A31">
      <w:pPr>
        <w:keepNext/>
        <w:keepLines/>
        <w:autoSpaceDE w:val="0"/>
        <w:autoSpaceDN w:val="0"/>
        <w:adjustRightInd w:val="0"/>
        <w:spacing w:after="0" w:line="240" w:lineRule="auto"/>
        <w:jc w:val="both"/>
        <w:rPr>
          <w:color w:val="FF0000"/>
          <w:sz w:val="24"/>
          <w:szCs w:val="24"/>
          <w:rFonts w:eastAsia="Calibri" w:cs="TimesLTStd-Roman"/>
        </w:rPr>
      </w:pPr>
      <w:r>
        <w:rPr>
          <w:color w:val="FF0000"/>
          <w:sz w:val="24"/>
        </w:rPr>
        <w:t xml:space="preserve">Definicja pojęcia „opakowaniowy” musi ponadto opierać się na następujących kryteriach:</w:t>
      </w:r>
    </w:p>
    <w:p w14:paraId="0BE24D6D" w14:textId="77777777" w:rsidR="000147DB" w:rsidRPr="003E7524" w:rsidRDefault="000147DB" w:rsidP="000147DB">
      <w:pPr>
        <w:autoSpaceDE w:val="0"/>
        <w:autoSpaceDN w:val="0"/>
        <w:adjustRightInd w:val="0"/>
        <w:spacing w:after="0" w:line="240" w:lineRule="auto"/>
        <w:ind w:left="720"/>
        <w:jc w:val="both"/>
        <w:rPr>
          <w:color w:val="FF0000"/>
          <w:sz w:val="24"/>
          <w:szCs w:val="24"/>
          <w:rFonts w:eastAsia="Calibri" w:cs="TimesLTStd-Roman"/>
        </w:rPr>
      </w:pPr>
      <w:r>
        <w:rPr>
          <w:color w:val="FF0000"/>
          <w:sz w:val="24"/>
        </w:rPr>
        <w:t xml:space="preserve">i.</w:t>
      </w:r>
      <w:r>
        <w:rPr>
          <w:color w:val="FF0000"/>
          <w:sz w:val="24"/>
        </w:rPr>
        <w:t xml:space="preserve"> </w:t>
      </w:r>
      <w:r>
        <w:rPr>
          <w:color w:val="FF0000"/>
          <w:sz w:val="24"/>
        </w:rPr>
        <w:t xml:space="preserve">artykuł uznaje się za opakowanie, jeżeli jest zgodny z ww. definicją, bez uszczerbku dla innych funkcji, które opakowanie może również pełnić, o ile artykuł nie stanowi integralnej części produktu i nie jest niezbędny do zawierania, podtrzymywania lub ochrony produktu w czasie jego cyklu życia, a wszystkie elementy nie są przeznaczone do wykorzystania, zużycia lub usunięcia razem;</w:t>
      </w:r>
    </w:p>
    <w:p w14:paraId="03C118C8" w14:textId="77777777" w:rsidR="000147DB" w:rsidRPr="003E7524" w:rsidRDefault="000147DB" w:rsidP="000147DB">
      <w:pPr>
        <w:autoSpaceDE w:val="0"/>
        <w:autoSpaceDN w:val="0"/>
        <w:adjustRightInd w:val="0"/>
        <w:spacing w:after="0" w:line="240" w:lineRule="auto"/>
        <w:ind w:left="720"/>
        <w:jc w:val="both"/>
        <w:rPr>
          <w:color w:val="FF0000"/>
          <w:sz w:val="24"/>
          <w:szCs w:val="24"/>
          <w:rFonts w:eastAsia="Calibri" w:cs="TimesLTStd-Roman"/>
        </w:rPr>
      </w:pPr>
      <w:r>
        <w:rPr>
          <w:color w:val="FF0000"/>
          <w:sz w:val="24"/>
        </w:rPr>
        <w:t xml:space="preserve">ii.</w:t>
      </w:r>
      <w:r>
        <w:rPr>
          <w:color w:val="FF0000"/>
          <w:sz w:val="24"/>
        </w:rPr>
        <w:t xml:space="preserve"> </w:t>
      </w:r>
      <w:r>
        <w:rPr>
          <w:color w:val="FF0000"/>
          <w:sz w:val="24"/>
        </w:rPr>
        <w:t xml:space="preserve">artykuły zaprojektowane tak, aby mogły być napełnione w punkcie sprzedaży i artykuły jednorazowe w sprzedaży, napełniane lub zaprojektowane w taki sposób, aby umożliwiać napełnianie w punkcie sprzedaży, uznaje się za opakowania, jeżeli są używane jako opakowania i stanowią opakowania eksploatacyjne;</w:t>
      </w:r>
    </w:p>
    <w:p w14:paraId="21E05D64" w14:textId="77777777" w:rsidR="000147DB" w:rsidRPr="003E7524" w:rsidRDefault="000147DB" w:rsidP="000147DB">
      <w:pPr>
        <w:autoSpaceDE w:val="0"/>
        <w:autoSpaceDN w:val="0"/>
        <w:adjustRightInd w:val="0"/>
        <w:spacing w:after="0" w:line="240" w:lineRule="auto"/>
        <w:ind w:left="720"/>
        <w:jc w:val="both"/>
        <w:rPr>
          <w:color w:val="FF0000"/>
          <w:sz w:val="24"/>
          <w:szCs w:val="24"/>
          <w:rFonts w:eastAsia="Calibri" w:cs="TimesLTStd-Roman"/>
        </w:rPr>
      </w:pPr>
      <w:r>
        <w:rPr>
          <w:color w:val="FF0000"/>
          <w:sz w:val="24"/>
        </w:rPr>
        <w:t xml:space="preserve">iii.</w:t>
      </w:r>
      <w:r>
        <w:rPr>
          <w:color w:val="FF0000"/>
          <w:sz w:val="24"/>
        </w:rPr>
        <w:t xml:space="preserve"> </w:t>
      </w:r>
      <w:r>
        <w:rPr>
          <w:color w:val="FF0000"/>
          <w:sz w:val="24"/>
        </w:rPr>
        <w:t xml:space="preserve">składniki opakowań i elementy pomocnicze wbudowane w opakowanie uznaje się za części opakowania, w które są wbudowane.</w:t>
      </w:r>
      <w:r>
        <w:rPr>
          <w:color w:val="FF0000"/>
          <w:sz w:val="24"/>
        </w:rPr>
        <w:t xml:space="preserve"> </w:t>
      </w:r>
      <w:r>
        <w:rPr>
          <w:color w:val="FF0000"/>
          <w:sz w:val="24"/>
        </w:rPr>
        <w:t xml:space="preserve">Elementy pomocnicze bezpośrednio przyczepione lub przymocowane do produktu, które pełnią funkcję opakowania, uznaje się za opakowania, o ile nie stanowią integralnej części produktu, a wszystkie elementy nie są przeznaczone do zużycia lub usunięcia razem.</w:t>
      </w:r>
    </w:p>
    <w:p w14:paraId="376B89A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FR"/>
        </w:rPr>
      </w:pPr>
    </w:p>
    <w:p w14:paraId="338D0B69"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Artykuły wymienione w załączniku I do dyrektywy 94/62/WE Parlamentu Europejskiego i Rady z dnia 20 grudnia 1994 r. w sprawie opakowań i odpadów opakowaniowych zmienionej aktami delegowanymi Komisji Europejskiej przyjętymi zgodnie z art. 19 ust. 2 i art. 21a tej dyrektywy stanowią przykłady stosowania tych kryteriów;</w:t>
      </w:r>
    </w:p>
    <w:p w14:paraId="44FB8E04"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8° „opakowanie wielokrotnego użytku” oznacza opakowanie, które zostało zaprojektowane, stworzone i wprowadzone do obrotu z myślą o wielokrotnym ponownym napełnieniu lub użyciu w trakcie cyklu życia w tym samym celu, do którego zostało zaprojektowane;</w:t>
      </w:r>
    </w:p>
    <w:p w14:paraId="01840540"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9° „opakowanie kompozytowe” oznacza opakowanie składające się z dwóch lub więcej warstw różnych materiałów, których nie można oddzielić ręcznie i które tworzą jedną całość składającą się z pojemnika wewnętrznego i korpusu zewnętrznego, która jest napełniana, składowana, transportowana i opróżniana jako taka;</w:t>
      </w:r>
    </w:p>
    <w:p w14:paraId="40CA1AE7" w14:textId="77777777" w:rsidR="000147DB" w:rsidRPr="003E7524" w:rsidRDefault="000147DB" w:rsidP="000147DB">
      <w:pPr>
        <w:autoSpaceDE w:val="0"/>
        <w:autoSpaceDN w:val="0"/>
        <w:adjustRightInd w:val="0"/>
        <w:spacing w:after="0" w:line="240" w:lineRule="auto"/>
        <w:jc w:val="both"/>
        <w:rPr>
          <w:color w:val="FF0000"/>
          <w:sz w:val="24"/>
          <w:szCs w:val="24"/>
          <w:rFonts w:cs="TimesNewRoman"/>
        </w:rPr>
      </w:pPr>
      <w:r>
        <w:rPr>
          <w:color w:val="FF0000"/>
          <w:sz w:val="24"/>
        </w:rPr>
        <w:t xml:space="preserve">10°„gospodarowanie scentralizowane” oznacza system polegający na przejęciu odpowiedzialności za odpady opakowaniowe przez zatwierdzoną organizację z punktu zbiórki odpadów przekazywanych w sposób dobrowolny w celu ich recyklingu”;</w:t>
      </w:r>
    </w:p>
    <w:p w14:paraId="2476E1AB"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11° „gospodarowanie odpadami opakowaniowymi” oznacza gospodarowanie odpadami zgodnie z definicją w art. 4 ustawy z dnia 21 marca 2012 r.;</w:t>
      </w:r>
    </w:p>
    <w:p w14:paraId="7FBC2293"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12° „materiał opakowaniowy” oznacza materiał pojedynczy lub złożony pochodzenia naturalnego lub sztucznego, z którego jest wykonane opakowanie;</w:t>
      </w:r>
    </w:p>
    <w:p w14:paraId="6F877037"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13° „wprowadzenie do obrotu” oznacza dostarczenie wyrobu przeznaczonego do dystrybucji, konsumpcji lub wykorzystania na rynku luksemburskim w ramach działalności handlowej, odpłatnie lub nieodpłatnie;</w:t>
      </w:r>
      <w:r>
        <w:rPr>
          <w:color w:val="FF0000"/>
          <w:sz w:val="24"/>
        </w:rPr>
        <w:t xml:space="preserve"> </w:t>
      </w:r>
    </w:p>
    <w:p w14:paraId="39E8CFEA"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14° „wprowadzenie na rynek” oznacza pierwsze udostępnienie produktu na rynku luksemburskim;</w:t>
      </w:r>
    </w:p>
    <w:p w14:paraId="337D0712"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15° „zatwierdzona organizacja” oznacza osobę prawną zatwierdzoną zgodnie z ustawą z dnia 21 marca 2012 r., która przejmuje obowiązki wynikające z rozszerzonej odpowiedzialności producentów;</w:t>
      </w:r>
      <w:r>
        <w:rPr>
          <w:color w:val="FF0000"/>
          <w:sz w:val="24"/>
        </w:rPr>
        <w:t xml:space="preserve"> </w:t>
      </w:r>
    </w:p>
    <w:p w14:paraId="3063727E" w14:textId="5A2948D3"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16° „tworzywo sztuczne” oznacza polimer w rozumieniu art. 3 pkt 5 rozporządzenia (WE) nr 1907/2006 Parlamentu Europejskiego i Rady z dnia 18 grudnia 2006 r. w sprawie rejestracji, oceny, udzielania zezwoleń i stosowanych ograniczeń w zakresie chemikaliów (REACH), utworzenia Europejskiej Agencji Chemikaliów, zmieniającego dyrektywę 1999/45/WE oraz uchylającego rozporządzenie Rady (EWG) nr 793/93 i rozporządzenie Komisji (WE) nr 1488/94, jak również dyrektywę Rady 76/769/EWG i dyrektywy Komisji 91/155/EWG, 93/67/EWG, 93/105/WE i 2000/21/WE, do którego można dodać dodatki lub inne substancje i który może pełnić funkcję głównego komponentu strukturalnego toreb;</w:t>
      </w:r>
    </w:p>
    <w:p w14:paraId="722C1B32"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17° „recykling organiczny” oznacza obróbkę tlenową (kompostowanie) lub beztlenową (biometanizacja) biodegradowalnych części odpadów opakowaniowych przez drobnoustroje w warunkach kontrolowanych, w połączeniu z produkcją metanu lub organicznych stabilizowanych polepszaczy gleby.</w:t>
      </w:r>
      <w:r>
        <w:rPr>
          <w:color w:val="FF0000"/>
          <w:sz w:val="24"/>
        </w:rPr>
        <w:t xml:space="preserve"> </w:t>
      </w:r>
      <w:r>
        <w:rPr>
          <w:color w:val="FF0000"/>
          <w:sz w:val="24"/>
        </w:rPr>
        <w:t xml:space="preserve">Zakopanie na składowisku nie może zostać uznane za formę recyklingu organicznego;</w:t>
      </w:r>
    </w:p>
    <w:p w14:paraId="211C3BAF" w14:textId="77777777" w:rsidR="000147DB" w:rsidRPr="00471E09" w:rsidRDefault="000147DB" w:rsidP="000147DB">
      <w:pPr>
        <w:autoSpaceDE w:val="0"/>
        <w:autoSpaceDN w:val="0"/>
        <w:adjustRightInd w:val="0"/>
        <w:spacing w:after="0"/>
        <w:jc w:val="both"/>
        <w:rPr>
          <w:color w:val="FF0000"/>
          <w:sz w:val="24"/>
          <w:szCs w:val="24"/>
          <w:rFonts w:eastAsia="Calibri" w:cs="TimesLTStd-Roman"/>
        </w:rPr>
      </w:pPr>
      <w:r>
        <w:rPr>
          <w:color w:val="FF0000"/>
          <w:sz w:val="24"/>
        </w:rPr>
        <w:t xml:space="preserve">18° „podmiot odpowiedzialny za opakowania” oznacza osobę fizyczną lub prawną z siedzibą w Wielkim Księstwie Luksemburga lub w innym kraju, która zawodowo wprowadza na rynek luksemburski produkty opakowane, bez względu na stosowaną technikę sprzedaży, również na podstawie umów zdalnych, o których mowa w art. L.222-1 kodeksu konsumentów.</w:t>
      </w:r>
    </w:p>
    <w:p w14:paraId="532A7F6A"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Jeżeli chodzi o opakowania eksploatacyjne, za podmiot odpowiedzialny za opakowania uznaje się każdy podmiot, który zawodowo zajmuje się produkcją lub przywozem opakowań eksploatacyjnych w celu ich wprowadzenia na rynek luksemburski;</w:t>
      </w:r>
    </w:p>
    <w:p w14:paraId="2066F35B"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19° „torby plastikowe” oznaczają torby z uchwytem lub bez, wykonane z plastiku, które są dostarczane konsumentom w punktach sprzedaży towarów lub produktów;</w:t>
      </w:r>
    </w:p>
    <w:p w14:paraId="2892A87A"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20° „lekkie torby plastikowe” oznaczają torby plastikowe o grubości nieprzekraczającej 50 mikronów;</w:t>
      </w:r>
    </w:p>
    <w:p w14:paraId="1D560F90"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21° „bardzo lekkie torby plastikowe” oznaczają torby plastikowe o grubości nieprzekraczającej 15 mikronów,</w:t>
      </w:r>
    </w:p>
    <w:p w14:paraId="099FC67B"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które są niezbędne do celów higieny lub są dostarczane jako opakowanie bezpośrednie środków spożywczych luzem, jeżeli przyczynia się to do zapobiegania marnotrawstwu żywności;</w:t>
      </w:r>
    </w:p>
    <w:p w14:paraId="518E14E1"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22° „torby plastikowe podlegające oksydegradacji” oznaczają torby plastikowe składające się z tworzyw sztucznych zawierających dodatki, które przyspieszają fragmentację tworzyw sztucznych na mikroczęści;</w:t>
      </w:r>
    </w:p>
    <w:p w14:paraId="3F38912D" w14:textId="7CDBAB0E"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23° „system kaucyjny” oznacza system odbioru, w którym nabywca płaci pewną kwotę, którą otrzymuje z powrotem w momencie zwrotu zużytego opakowania;</w:t>
      </w:r>
    </w:p>
    <w:p w14:paraId="7826512C"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24° „wskaźnik udziału w rynku” oznacza odsetek opakowań na płyny spożywcze w danym okresie, określający w liczniku objętość płynów spożywczych wprowadzonych do obrotu, umieszczonych w opakowaniach wielokrotnego użytku i spożytych na terytorium krajowym, a w mianowniku całkowitą objętość płynów spożywczych wprowadzonych do obrotu i spożytych na terytorium krajowym;</w:t>
      </w:r>
    </w:p>
    <w:p w14:paraId="7104FF6A"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25° „wskaźnik recyklingu” oznacza odsetek odpadów opakowaniowych w danym okresie, określający w liczniku wagę odpadów opakowaniowych rzeczywiście poddanych recyklingowi, a w mianowniku całkowitą wagę opakowań nadających się do odzysku, które zostały wprowadzone na rynek luksemburski przez podmiot odpowiedzialny za opakowania i wykorzystane na terytorium krajowym.</w:t>
      </w:r>
    </w:p>
    <w:p w14:paraId="67C77E37"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Niniejsza definicja nie obejmuje opakowań wielokrotnego użytku w rozumieniu niniejszej ustawy;</w:t>
      </w:r>
    </w:p>
    <w:p w14:paraId="6B41F5CB"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26° „wskaźnik odzysku” oznacza odsetek odpadów opakowaniowych w danym okresie, określający w liczniku wagę odpadów opakowaniowych rzeczywiście poddanych odzyskowi, a w mianowniku całkowitą wagę opakowań nadających się do odzysku, które zostały wprowadzone na rynek luksemburski przez podmiot odpowiedzialny za opakowania i wykorzystane na terytorium krajowym;</w:t>
      </w:r>
    </w:p>
    <w:p w14:paraId="5C7F6993"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Niniejsza definicja nie obejmuje opakowań wielokrotnego użytku w rozumieniu niniejszej ustawy;</w:t>
      </w:r>
    </w:p>
    <w:p w14:paraId="1F021DEC"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27° „odzysk energetyczny” oznacza wykorzystanie odpadów opakowaniowych palnych jako czynnika produkcji energii przez spalanie bezpośrednie z innymi odpadami lub bez innych odpadów, lecz z odzyskiem ciepła.</w:t>
      </w:r>
    </w:p>
    <w:p w14:paraId="2F42A154"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Niniejsza definicja nie obejmuje opakowań wielokrotnego użytku w rozumieniu niniejszej ustawy.</w:t>
      </w:r>
    </w:p>
    <w:p w14:paraId="2A33EF01"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rPr>
        <w:t xml:space="preserve">Zastosowanie mają definicje terminów „odpady”, „odpady komunalne”, „odpady komunalne z gospodarstw domowych”, odpady komunalne inne niż z gospodarstw domowych”, „gospodarowanie odpadami”, „zbiórka”, „zbiórka selektywna”, „zapobieganie”, „wielokrotne wykorzystanie”, „przygotowanie do ponownego wykorzystania”, „przetwarzanie”, „odzysk”, „recykling”, „recykling o wysokiej jakości”, „usuwanie”, „centrum zasobów” i „system rozszerzonej odpowiedzialności producentów”, o których mowa w art. 4 ustawy z dnia 21 marca 2012 r.</w:t>
      </w:r>
    </w:p>
    <w:p w14:paraId="2564CAE3" w14:textId="77777777" w:rsidR="000147DB" w:rsidRPr="003E7524" w:rsidRDefault="000147DB" w:rsidP="000147DB">
      <w:pPr>
        <w:spacing w:after="0" w:line="240" w:lineRule="auto"/>
        <w:jc w:val="both"/>
        <w:rPr>
          <w:rFonts w:eastAsia="Times New Roman" w:cs="Arial"/>
          <w:lang w:val="fr-LU" w:eastAsia="fr-FR"/>
        </w:rPr>
      </w:pPr>
    </w:p>
    <w:p w14:paraId="26C831EB" w14:textId="77777777" w:rsidR="000147DB" w:rsidRPr="003E7524" w:rsidRDefault="000147DB" w:rsidP="000147DB">
      <w:pPr>
        <w:spacing w:after="0" w:line="240" w:lineRule="auto"/>
        <w:jc w:val="both"/>
        <w:rPr>
          <w:rFonts w:eastAsia="Times New Roman" w:cs="Arial"/>
          <w:lang w:val="fr-FR" w:eastAsia="fr-FR"/>
        </w:rPr>
      </w:pPr>
    </w:p>
    <w:p w14:paraId="692FDAD6" w14:textId="77777777" w:rsidR="000147DB" w:rsidRPr="003E7524" w:rsidRDefault="000147DB" w:rsidP="002F5A31">
      <w:pPr>
        <w:keepNext/>
        <w:keepLines/>
        <w:spacing w:after="0" w:line="240" w:lineRule="auto"/>
        <w:jc w:val="both"/>
        <w:rPr>
          <w:b/>
          <w:iCs/>
          <w:rFonts w:eastAsia="Times New Roman" w:cs="Arial"/>
        </w:rPr>
      </w:pPr>
      <w:r>
        <w:rPr>
          <w:b/>
        </w:rPr>
        <w:t xml:space="preserve">Artykuł 4.</w:t>
      </w:r>
      <w:r>
        <w:rPr>
          <w:b/>
        </w:rPr>
        <w:t xml:space="preserve"> </w:t>
      </w:r>
      <w:r>
        <w:rPr>
          <w:b/>
        </w:rPr>
        <w:t xml:space="preserve">Zapobieganie i ponowne wykorzystanie oraz umowy dotyczące ochrony środowiska</w:t>
      </w:r>
    </w:p>
    <w:p w14:paraId="6BEB351B" w14:textId="77777777" w:rsidR="000147DB" w:rsidRPr="003E7524" w:rsidRDefault="000147DB" w:rsidP="002F5A31">
      <w:pPr>
        <w:keepNext/>
        <w:keepLines/>
        <w:spacing w:after="0" w:line="240" w:lineRule="auto"/>
        <w:jc w:val="both"/>
        <w:rPr>
          <w:rFonts w:eastAsia="Times New Roman" w:cs="Arial"/>
          <w:b/>
          <w:iCs/>
          <w:lang w:val="fr-FR" w:eastAsia="fr-FR"/>
        </w:rPr>
      </w:pPr>
    </w:p>
    <w:p w14:paraId="39614631" w14:textId="77777777" w:rsidR="000147DB" w:rsidRPr="003E7524" w:rsidRDefault="000147DB" w:rsidP="002F5A31">
      <w:pPr>
        <w:keepNext/>
        <w:keepLines/>
        <w:spacing w:after="0" w:line="240" w:lineRule="auto"/>
        <w:jc w:val="both"/>
        <w:rPr>
          <w:rFonts w:eastAsia="Times New Roman" w:cs="Arial"/>
          <w:color w:val="FF0000"/>
          <w:lang w:val="fr-FR" w:eastAsia="fr-FR"/>
        </w:rPr>
      </w:pPr>
    </w:p>
    <w:p w14:paraId="63CEA987"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rPr>
        <w:t xml:space="preserve">Poza środkami, których celem jest zapobieganie wytwarzaniu odpadów, przyjętych zgodnie z art. 9 i bez uszczerbku dla ust. 2, minister może zawrzeć umowy dotyczące ochrony środowiska, które są zgodne z celami określonymi w art. 1 i zasadniczo służą ograniczeniu oddziaływania opakowań na środowisko oraz przeciwdziałaniu wytwarzaniu odpadów opakowaniowych.</w:t>
      </w:r>
      <w:r>
        <w:rPr>
          <w:color w:val="FF0000"/>
          <w:sz w:val="24"/>
        </w:rPr>
        <w:t xml:space="preserve"> </w:t>
      </w:r>
      <w:r>
        <w:rPr>
          <w:color w:val="FF0000"/>
          <w:sz w:val="24"/>
        </w:rPr>
        <w:t xml:space="preserve">W umowach tych można przewidzieć kampanie informacyjne i uświadamiające skierowane do obywateli.</w:t>
      </w:r>
    </w:p>
    <w:p w14:paraId="0A4A972F" w14:textId="77777777" w:rsidR="000147DB" w:rsidRPr="003E7524" w:rsidRDefault="000147DB" w:rsidP="000147DB">
      <w:pPr>
        <w:spacing w:after="0" w:line="240" w:lineRule="auto"/>
        <w:jc w:val="both"/>
        <w:rPr>
          <w:rFonts w:eastAsia="Times New Roman" w:cs="Arial"/>
          <w:color w:val="FF0000"/>
          <w:lang w:val="fr-FR" w:eastAsia="fr-FR"/>
        </w:rPr>
      </w:pPr>
    </w:p>
    <w:p w14:paraId="6A969234" w14:textId="77777777" w:rsidR="000147DB" w:rsidRPr="003E7524" w:rsidRDefault="000147DB" w:rsidP="000147DB">
      <w:pPr>
        <w:spacing w:after="0" w:line="240" w:lineRule="auto"/>
        <w:jc w:val="both"/>
        <w:rPr>
          <w:rFonts w:eastAsia="Times New Roman" w:cs="Arial"/>
          <w:lang w:val="fr-FR" w:eastAsia="fr-FR"/>
        </w:rPr>
      </w:pPr>
    </w:p>
    <w:p w14:paraId="2D73D492" w14:textId="77777777" w:rsidR="000147DB" w:rsidRPr="003E7524" w:rsidRDefault="000147DB" w:rsidP="000147DB">
      <w:pPr>
        <w:spacing w:after="0" w:line="240" w:lineRule="auto"/>
        <w:jc w:val="both"/>
        <w:rPr>
          <w:rFonts w:eastAsia="Times New Roman" w:cs="Arial"/>
        </w:rPr>
      </w:pPr>
      <w:r>
        <w:t xml:space="preserve">Jeżeli chodzi o produkcję opakowań i innych produktów, umowy dotyczące ochrony środowiska mogą zawierać zachęty do stosowania materiałów uzyskanych z odpadów opakowaniowych poddanych recyklingowi i poprawy warunków rynkowych dla tych materiałów.</w:t>
      </w:r>
    </w:p>
    <w:p w14:paraId="4FAEAC4C" w14:textId="77777777" w:rsidR="000147DB" w:rsidRPr="003E7524" w:rsidRDefault="000147DB" w:rsidP="000147DB">
      <w:pPr>
        <w:spacing w:after="0" w:line="240" w:lineRule="auto"/>
        <w:jc w:val="both"/>
        <w:rPr>
          <w:rFonts w:eastAsia="Times New Roman" w:cs="Arial"/>
        </w:rPr>
      </w:pPr>
      <w:r>
        <w:t xml:space="preserve">Jeżeli chodzi o opakowania na płyny spożywcze i inne produkty, umowy dotyczące ochrony środowiska mogą określać warunki i zasady promowania produkcji i wprowadzania na rynek opakowań wielokrotnego użytku oraz cele dotyczące wskaźników udziału w rynku.</w:t>
      </w:r>
      <w:r>
        <w:t xml:space="preserve"> </w:t>
      </w:r>
      <w:r>
        <w:t xml:space="preserve">Niniejsza ustawa nie stanowi uszczerbku dla utrzymania lub wprowadzenia systemu gwarantującego ponowne wykorzystanie opakowań, w formie systemu kaucyjnego lub w innej odpowiedniej postaci, zgodnie z celami określonymi w art. 1.</w:t>
      </w:r>
    </w:p>
    <w:p w14:paraId="7B14AF7B" w14:textId="77777777" w:rsidR="000147DB" w:rsidRPr="003E7524" w:rsidRDefault="000147DB" w:rsidP="000147DB">
      <w:pPr>
        <w:spacing w:after="0" w:line="240" w:lineRule="auto"/>
        <w:jc w:val="both"/>
        <w:rPr>
          <w:rFonts w:eastAsia="Times New Roman" w:cs="Arial"/>
        </w:rPr>
      </w:pPr>
      <w:r>
        <w:t xml:space="preserve">(2) W krajowym planie gospodarowania odpadami oraz, w stosownym przypadku, w planie szczegółowym można określić inne środki zapobiegawcze, w tym badania i projekty pilotażowe, zgodnie z ustawą z dnia 21 marca 2012 r.</w:t>
      </w:r>
    </w:p>
    <w:p w14:paraId="639CF3A6" w14:textId="77777777" w:rsidR="000147DB" w:rsidRPr="003E7524" w:rsidRDefault="000147DB" w:rsidP="000147DB">
      <w:pPr>
        <w:spacing w:after="0" w:line="240" w:lineRule="auto"/>
        <w:jc w:val="both"/>
        <w:rPr>
          <w:rFonts w:eastAsia="Times New Roman" w:cs="Arial"/>
          <w:lang w:val="fr-FR" w:eastAsia="fr-FR"/>
        </w:rPr>
      </w:pPr>
    </w:p>
    <w:p w14:paraId="173C0BC9" w14:textId="77777777" w:rsidR="000147DB" w:rsidRPr="003E7524" w:rsidRDefault="000147DB" w:rsidP="000147DB">
      <w:pPr>
        <w:spacing w:after="0" w:line="240" w:lineRule="auto"/>
        <w:jc w:val="both"/>
        <w:rPr>
          <w:rFonts w:eastAsia="Times New Roman" w:cs="Arial"/>
          <w:lang w:val="fr-FR" w:eastAsia="fr-FR"/>
        </w:rPr>
      </w:pPr>
    </w:p>
    <w:p w14:paraId="759CE7BF" w14:textId="77777777" w:rsidR="000147DB" w:rsidRPr="003E7524" w:rsidRDefault="000147DB" w:rsidP="000147DB">
      <w:pPr>
        <w:spacing w:after="0" w:line="240" w:lineRule="auto"/>
        <w:jc w:val="both"/>
        <w:rPr>
          <w:rFonts w:eastAsia="Times New Roman" w:cs="Arial"/>
          <w:strike/>
          <w:lang w:val="fr-FR" w:eastAsia="fr-FR"/>
        </w:rPr>
      </w:pPr>
    </w:p>
    <w:p w14:paraId="1F738067" w14:textId="77777777" w:rsidR="000147DB" w:rsidRPr="00471E09" w:rsidRDefault="000147DB" w:rsidP="002F5A31">
      <w:pPr>
        <w:keepNext/>
        <w:keepLines/>
        <w:spacing w:beforeLines="100" w:before="240" w:after="240" w:line="240" w:lineRule="auto"/>
        <w:jc w:val="both"/>
        <w:rPr>
          <w:b/>
          <w:color w:val="FF0000"/>
          <w:sz w:val="24"/>
          <w:szCs w:val="24"/>
          <w:u w:val="single"/>
          <w:rFonts w:eastAsia="Calibri" w:cs="TimesNewRoman"/>
        </w:rPr>
      </w:pPr>
      <w:r>
        <w:rPr>
          <w:b/>
          <w:color w:val="FF0000"/>
          <w:sz w:val="24"/>
          <w:u w:val="single"/>
        </w:rPr>
        <w:t xml:space="preserve">Artykuł 5.</w:t>
      </w:r>
      <w:r>
        <w:rPr>
          <w:b/>
          <w:color w:val="FF0000"/>
          <w:sz w:val="24"/>
          <w:u w:val="single"/>
        </w:rPr>
        <w:t xml:space="preserve"> </w:t>
      </w:r>
      <w:r>
        <w:rPr>
          <w:b/>
          <w:color w:val="FF0000"/>
          <w:sz w:val="24"/>
          <w:u w:val="single"/>
        </w:rPr>
        <w:t xml:space="preserve">Ograniczenie zużycia opakowań</w:t>
      </w:r>
      <w:r>
        <w:rPr>
          <w:b/>
          <w:color w:val="FF0000"/>
          <w:sz w:val="24"/>
          <w:u w:val="single"/>
        </w:rPr>
        <w:t xml:space="preserve"> </w:t>
      </w:r>
    </w:p>
    <w:p w14:paraId="2D11A631" w14:textId="77777777" w:rsidR="000147DB" w:rsidRPr="003E7524" w:rsidRDefault="000147DB" w:rsidP="002F5A31">
      <w:pPr>
        <w:keepNext/>
        <w:keepLines/>
        <w:spacing w:beforeLines="100" w:before="240" w:after="240" w:line="240" w:lineRule="auto"/>
        <w:jc w:val="both"/>
        <w:rPr>
          <w:color w:val="FF0000"/>
          <w:sz w:val="24"/>
          <w:szCs w:val="24"/>
          <w:rFonts w:eastAsia="Calibri" w:cs="TimesNewRoman"/>
        </w:rPr>
      </w:pPr>
      <w:r>
        <w:rPr>
          <w:color w:val="FF0000"/>
          <w:sz w:val="24"/>
        </w:rPr>
        <w:t xml:space="preserve">W celu trwałego ograniczenia zużycia opakowań na terytorium luksemburskim:</w:t>
      </w:r>
    </w:p>
    <w:p w14:paraId="1921772D" w14:textId="2F6CC734" w:rsidR="000147DB" w:rsidRPr="00471E09" w:rsidRDefault="000147DB" w:rsidP="000147DB">
      <w:pPr>
        <w:pStyle w:val="Liste10"/>
        <w:spacing w:before="240"/>
        <w:ind w:left="360" w:hanging="427"/>
        <w:rPr>
          <w:color w:val="FF0000"/>
          <w:sz w:val="24"/>
          <w:szCs w:val="24"/>
          <w:rFonts w:cs="TimesNewRoman"/>
        </w:rPr>
      </w:pPr>
      <w:r>
        <w:rPr>
          <w:color w:val="FF0000"/>
          <w:sz w:val="24"/>
        </w:rPr>
        <w:t xml:space="preserve">1° </w:t>
      </w:r>
      <w:r>
        <w:rPr>
          <w:color w:val="FF0000"/>
          <w:sz w:val="24"/>
        </w:rPr>
        <w:tab/>
      </w:r>
      <w:r>
        <w:rPr>
          <w:color w:val="FF0000"/>
          <w:sz w:val="24"/>
        </w:rPr>
        <w:t xml:space="preserve">i) od dnia 1 stycznia 2022 r. każdy punkt sprzedaży detalicznej oferujący w sprzedaży świeże owoce i warzywa, o których mowa w załączniku III, w tym owoce i warzywa obrane lub pokrojone, ma obowiązek oferować je do sprzedaży bez opakowania składającego się w całości lub w części z tworzywa sztucznego.</w:t>
      </w:r>
      <w:r>
        <w:rPr>
          <w:color w:val="FF0000"/>
          <w:sz w:val="24"/>
        </w:rPr>
        <w:t xml:space="preserve"> </w:t>
      </w:r>
      <w:r>
        <w:rPr>
          <w:color w:val="FF0000"/>
          <w:sz w:val="24"/>
        </w:rPr>
        <w:t xml:space="preserve">Obowiązek nie ma zastosowania do owoców i warzyw pakowanych w partiach po 1,5 kg lub więcej;</w:t>
      </w:r>
      <w:r>
        <w:rPr>
          <w:color w:val="FF0000"/>
          <w:sz w:val="24"/>
        </w:rPr>
        <w:t xml:space="preserve"> </w:t>
      </w:r>
    </w:p>
    <w:p w14:paraId="33E5B6DD" w14:textId="77777777" w:rsidR="000147DB" w:rsidRPr="003E7524" w:rsidRDefault="000147DB" w:rsidP="000147DB">
      <w:pPr>
        <w:pStyle w:val="Liste10"/>
        <w:spacing w:before="240"/>
        <w:ind w:left="360"/>
        <w:rPr>
          <w:rFonts w:cs="TimesNewRoman"/>
          <w:b/>
          <w:sz w:val="24"/>
          <w:szCs w:val="24"/>
          <w:lang w:val="fr-LU" w:eastAsia="fr-BE"/>
        </w:rPr>
      </w:pPr>
    </w:p>
    <w:p w14:paraId="0EA51AFF" w14:textId="633BD9CF" w:rsidR="000147DB" w:rsidRPr="003E7524" w:rsidRDefault="000147DB" w:rsidP="002F5A31">
      <w:pPr>
        <w:tabs>
          <w:tab w:val="left" w:pos="284"/>
        </w:tabs>
        <w:spacing w:beforeLines="100" w:before="240" w:after="240" w:line="240" w:lineRule="auto"/>
        <w:jc w:val="both"/>
        <w:rPr>
          <w:color w:val="FF0000"/>
          <w:sz w:val="24"/>
          <w:szCs w:val="24"/>
          <w:rFonts w:eastAsia="Calibri" w:cs="TimesNewRoman"/>
        </w:rPr>
      </w:pPr>
      <w:r>
        <w:rPr>
          <w:color w:val="FF0000"/>
          <w:sz w:val="24"/>
        </w:rPr>
        <w:t xml:space="preserve">2° roczny poziom zużycia lekkich toreb plastikowych nie może przekraczać dziewięćdziesięciu toreb jednostkowych na osobę na dzień 31 grudnia 2019 r. oraz czterdziestu jednostek na osobę na dzień 31 grudnia 2025 r.</w:t>
      </w:r>
      <w:r>
        <w:rPr>
          <w:color w:val="FF0000"/>
          <w:sz w:val="24"/>
        </w:rPr>
        <w:t xml:space="preserve"> </w:t>
      </w:r>
      <w:r>
        <w:rPr>
          <w:color w:val="FF0000"/>
          <w:sz w:val="24"/>
        </w:rPr>
        <w:t xml:space="preserve">Bardzo lekkie torby plastikowe w rozumieniu art. 3 pkt 5 są wyłączone;</w:t>
      </w:r>
    </w:p>
    <w:p w14:paraId="6F0972E3"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rPr>
        <w:t xml:space="preserve">3° w punktach sprzedaży towarów lub produktów nie oferuje się nieodpłatnych toreb plastikowych.</w:t>
      </w:r>
      <w:r>
        <w:rPr>
          <w:color w:val="FF0000"/>
          <w:sz w:val="24"/>
        </w:rPr>
        <w:t xml:space="preserve"> </w:t>
      </w:r>
      <w:r>
        <w:rPr>
          <w:color w:val="FF0000"/>
          <w:sz w:val="24"/>
        </w:rPr>
        <w:t xml:space="preserve">Bardzo lekkie torby plastikowe w rozumieniu art. 3 pkt 5 są wyłączone.</w:t>
      </w:r>
    </w:p>
    <w:p w14:paraId="58896EE4" w14:textId="77777777" w:rsidR="000147DB" w:rsidRPr="003E7524" w:rsidRDefault="000147DB" w:rsidP="002F5A31">
      <w:pPr>
        <w:keepNext/>
        <w:keepLines/>
        <w:spacing w:beforeLines="100" w:before="240" w:after="240" w:line="240" w:lineRule="auto"/>
        <w:jc w:val="both"/>
        <w:rPr>
          <w:color w:val="FF0000"/>
          <w:sz w:val="24"/>
          <w:szCs w:val="24"/>
          <w:rFonts w:cs="TimesNewRoman"/>
        </w:rPr>
      </w:pPr>
      <w:r>
        <w:rPr>
          <w:color w:val="FF0000"/>
          <w:sz w:val="24"/>
        </w:rPr>
        <w:t xml:space="preserve">4° w punktach sprzedaży towarów lub produktów nie można oferować nieodpłatnie opakowań eksploatacyjnych zgodnie z następującym harmonogramem:</w:t>
      </w:r>
      <w:r>
        <w:rPr>
          <w:color w:val="FF0000"/>
          <w:sz w:val="24"/>
        </w:rPr>
        <w:t xml:space="preserve"> </w:t>
      </w:r>
    </w:p>
    <w:p w14:paraId="2B70078E" w14:textId="77777777" w:rsidR="000147DB" w:rsidRPr="003E7524" w:rsidRDefault="000147DB" w:rsidP="000147DB">
      <w:pPr>
        <w:spacing w:beforeLines="100" w:before="240" w:after="240" w:line="240" w:lineRule="auto"/>
        <w:jc w:val="both"/>
        <w:rPr>
          <w:color w:val="FF0000"/>
          <w:sz w:val="24"/>
          <w:szCs w:val="24"/>
          <w:rFonts w:cs="TimesNewRoman"/>
        </w:rPr>
      </w:pPr>
      <w:r>
        <w:rPr>
          <w:color w:val="FF0000"/>
          <w:sz w:val="24"/>
        </w:rPr>
        <w:t xml:space="preserve">od dnia 1 stycznia 2023 r. w przypadku toreb, niezależnie od materiału, z którego są wykonane;</w:t>
      </w:r>
    </w:p>
    <w:p w14:paraId="03DEAD8E" w14:textId="77777777" w:rsidR="000147DB" w:rsidRPr="00471E09" w:rsidRDefault="000147DB" w:rsidP="000147DB">
      <w:pPr>
        <w:spacing w:beforeLines="100" w:before="240" w:after="240" w:line="240" w:lineRule="auto"/>
        <w:jc w:val="both"/>
        <w:rPr>
          <w:color w:val="FF0000"/>
          <w:sz w:val="24"/>
          <w:szCs w:val="24"/>
          <w:rFonts w:eastAsia="Calibri" w:cs="TimesNewRoman"/>
        </w:rPr>
      </w:pPr>
      <w:r>
        <w:rPr>
          <w:color w:val="FF0000"/>
          <w:sz w:val="24"/>
        </w:rPr>
        <w:t xml:space="preserve">od dnia 1 stycznia 2024 r. w przypadku opakowań eksploatacyjnych stanowiących produkty jednorazowe wymienione w części A załącznika do ustawy z dnia … o ocenie oddziaływania niektórych produktów z tworzyw sztucznych na środowisko, niezależnie od materiału, z którego są wykonane;</w:t>
      </w:r>
    </w:p>
    <w:p w14:paraId="10B4C155" w14:textId="77777777" w:rsidR="000147DB" w:rsidRPr="003E7524" w:rsidRDefault="000147DB" w:rsidP="000147DB">
      <w:pPr>
        <w:spacing w:beforeLines="100" w:before="240" w:after="240" w:line="240" w:lineRule="auto"/>
        <w:jc w:val="both"/>
        <w:rPr>
          <w:color w:val="FF0000"/>
          <w:sz w:val="24"/>
          <w:szCs w:val="24"/>
          <w:rFonts w:cs="TimesNewRoman"/>
        </w:rPr>
      </w:pPr>
      <w:r>
        <w:rPr>
          <w:color w:val="FF0000"/>
          <w:sz w:val="24"/>
        </w:rPr>
        <w:t xml:space="preserve">od dnia 1 stycznia 2025 r. w przypadku wszystkich opakowań eksploatacyjnych.</w:t>
      </w:r>
    </w:p>
    <w:p w14:paraId="01699BD2" w14:textId="77777777" w:rsidR="000147DB" w:rsidRPr="00471E09" w:rsidRDefault="000147DB" w:rsidP="000147DB">
      <w:pPr>
        <w:spacing w:beforeLines="100" w:before="240" w:after="240" w:line="240" w:lineRule="auto"/>
        <w:jc w:val="both"/>
        <w:rPr>
          <w:bCs/>
          <w:color w:val="FF0000"/>
          <w:sz w:val="24"/>
          <w:szCs w:val="24"/>
          <w:rFonts w:eastAsia="Calibri" w:cstheme="minorHAnsi"/>
        </w:rPr>
      </w:pPr>
      <w:r>
        <w:rPr>
          <w:color w:val="FF0000"/>
          <w:sz w:val="24"/>
        </w:rPr>
        <w:t xml:space="preserve">(2) Produkty, o których mowa w ust. 1 pkt 3 i 4, muszą mieć cenę zniechęcającą, wskazaną oddzielnie i w widocznym miejscu w punkcie sprzedaży oraz na paragonie</w:t>
      </w:r>
      <w:r>
        <w:rPr>
          <w:color w:val="FF0000"/>
          <w:sz w:val="24"/>
        </w:rPr>
        <w:t xml:space="preserve">.</w:t>
      </w:r>
      <w:r>
        <w:rPr>
          <w:color w:val="FF0000"/>
          <w:sz w:val="24"/>
        </w:rPr>
        <w:t xml:space="preserve"> </w:t>
      </w:r>
      <w:r>
        <w:rPr>
          <w:color w:val="FF0000"/>
          <w:sz w:val="24"/>
        </w:rPr>
        <w:t xml:space="preserve">W umowie dotyczącej ochrony środowiska można określić cenę minimalną.</w:t>
      </w:r>
    </w:p>
    <w:p w14:paraId="4B8B74C5" w14:textId="77777777" w:rsidR="000147DB" w:rsidRPr="003E7524" w:rsidRDefault="000147DB" w:rsidP="000147DB">
      <w:pPr>
        <w:spacing w:after="0" w:line="240" w:lineRule="auto"/>
        <w:jc w:val="both"/>
        <w:rPr>
          <w:rFonts w:eastAsia="Times New Roman" w:cs="Arial"/>
          <w:color w:val="FF0000"/>
          <w:lang w:val="fr-FR" w:eastAsia="fr-FR"/>
        </w:rPr>
      </w:pPr>
    </w:p>
    <w:p w14:paraId="400B8D39" w14:textId="77777777" w:rsidR="000147DB" w:rsidRPr="003E7524" w:rsidRDefault="000147DB" w:rsidP="002F5A31">
      <w:pPr>
        <w:keepNext/>
        <w:keepLines/>
        <w:spacing w:beforeLines="100" w:before="240" w:after="240" w:line="240" w:lineRule="auto"/>
        <w:jc w:val="both"/>
        <w:rPr>
          <w:color w:val="FF0000"/>
          <w:sz w:val="24"/>
          <w:szCs w:val="24"/>
          <w:u w:val="single"/>
          <w:rFonts w:eastAsia="Calibri" w:cs="TimesNewRoman"/>
        </w:rPr>
      </w:pPr>
      <w:r>
        <w:rPr>
          <w:color w:val="FF0000"/>
          <w:sz w:val="24"/>
          <w:u w:val="single"/>
        </w:rPr>
        <w:t xml:space="preserve">Artykuł 5 </w:t>
      </w:r>
      <w:r>
        <w:rPr>
          <w:color w:val="FF0000"/>
          <w:sz w:val="24"/>
          <w:u w:val="single"/>
          <w:i/>
        </w:rPr>
        <w:t xml:space="preserve">bis</w:t>
      </w:r>
      <w:r>
        <w:rPr>
          <w:color w:val="FF0000"/>
          <w:sz w:val="24"/>
          <w:u w:val="single"/>
        </w:rPr>
        <w:t xml:space="preserve">.</w:t>
      </w:r>
      <w:r>
        <w:rPr>
          <w:color w:val="FF0000"/>
          <w:sz w:val="24"/>
          <w:u w:val="single"/>
        </w:rPr>
        <w:t xml:space="preserve"> </w:t>
      </w:r>
      <w:r>
        <w:rPr>
          <w:color w:val="FF0000"/>
          <w:sz w:val="24"/>
          <w:u w:val="single"/>
        </w:rPr>
        <w:t xml:space="preserve">Wielokrotne użycie</w:t>
      </w:r>
      <w:r>
        <w:rPr>
          <w:color w:val="FF0000"/>
          <w:sz w:val="24"/>
          <w:u w:val="single"/>
        </w:rPr>
        <w:t xml:space="preserve"> </w:t>
      </w:r>
    </w:p>
    <w:p w14:paraId="163598FA" w14:textId="77777777" w:rsidR="000147DB" w:rsidRPr="003E7524" w:rsidRDefault="000147DB" w:rsidP="000147DB">
      <w:pPr>
        <w:jc w:val="both"/>
        <w:rPr>
          <w:color w:val="FF0000"/>
          <w:sz w:val="24"/>
        </w:rPr>
      </w:pPr>
      <w:r>
        <w:rPr>
          <w:color w:val="FF0000"/>
          <w:sz w:val="24"/>
        </w:rPr>
        <w:t xml:space="preserve">Zgodnie z hierarchią odpadów ustanowioną w art. 9 ustawy z dnia 21 marca 2012 r. minister może zawrzeć umowy dotyczące ochrony środowiska jako zachętę do zwiększenia udziału opakowań wielokrotnego użytku na rynku oraz systemów wielokrotnego użycia opakowań, które są przyjazne dla środowiska.</w:t>
      </w:r>
    </w:p>
    <w:p w14:paraId="213A7D6C" w14:textId="77777777" w:rsidR="000147DB" w:rsidRPr="003E7524" w:rsidRDefault="000147DB" w:rsidP="002F5A31">
      <w:pPr>
        <w:keepNext/>
        <w:keepLines/>
        <w:jc w:val="both"/>
        <w:rPr>
          <w:color w:val="FF0000"/>
          <w:sz w:val="24"/>
        </w:rPr>
      </w:pPr>
      <w:r>
        <w:rPr>
          <w:color w:val="FF0000"/>
          <w:sz w:val="24"/>
        </w:rPr>
        <w:t xml:space="preserve">Umowy mogą obejmować między innymi:</w:t>
      </w:r>
      <w:r>
        <w:rPr>
          <w:color w:val="FF0000"/>
          <w:sz w:val="24"/>
        </w:rPr>
        <w:t xml:space="preserve"> </w:t>
      </w:r>
    </w:p>
    <w:p w14:paraId="5BEA6077" w14:textId="77777777" w:rsidR="000147DB" w:rsidRPr="003E7524" w:rsidRDefault="000147DB" w:rsidP="000147DB">
      <w:pPr>
        <w:jc w:val="both"/>
        <w:rPr>
          <w:color w:val="FF0000"/>
          <w:sz w:val="24"/>
        </w:rPr>
      </w:pPr>
      <w:r>
        <w:rPr>
          <w:color w:val="FF0000"/>
          <w:sz w:val="24"/>
        </w:rPr>
        <w:t xml:space="preserve">1° stosowanie systemów kaucyjnych;</w:t>
      </w:r>
    </w:p>
    <w:p w14:paraId="498392F7" w14:textId="77777777" w:rsidR="000147DB" w:rsidRPr="003E7524" w:rsidRDefault="000147DB" w:rsidP="000147DB">
      <w:pPr>
        <w:jc w:val="both"/>
        <w:rPr>
          <w:color w:val="FF0000"/>
          <w:sz w:val="24"/>
        </w:rPr>
      </w:pPr>
      <w:r>
        <w:rPr>
          <w:color w:val="FF0000"/>
          <w:sz w:val="24"/>
        </w:rPr>
        <w:t xml:space="preserve">2° wyznaczenie celów jakościowych lub ilościowych;</w:t>
      </w:r>
    </w:p>
    <w:p w14:paraId="57A9F07C" w14:textId="77777777" w:rsidR="000147DB" w:rsidRPr="003E7524" w:rsidRDefault="000147DB" w:rsidP="000147DB">
      <w:pPr>
        <w:jc w:val="both"/>
        <w:rPr>
          <w:color w:val="FF0000"/>
          <w:sz w:val="24"/>
        </w:rPr>
      </w:pPr>
      <w:r>
        <w:rPr>
          <w:color w:val="FF0000"/>
          <w:sz w:val="24"/>
        </w:rPr>
        <w:t xml:space="preserve">3° stosowanie zachęt ekonomicznych;</w:t>
      </w:r>
    </w:p>
    <w:p w14:paraId="2D7BAE53" w14:textId="77777777" w:rsidR="000147DB" w:rsidRPr="003E7524" w:rsidRDefault="000147DB" w:rsidP="000147DB">
      <w:pPr>
        <w:jc w:val="both"/>
        <w:rPr>
          <w:color w:val="FF0000"/>
          <w:sz w:val="24"/>
        </w:rPr>
      </w:pPr>
      <w:r>
        <w:rPr>
          <w:color w:val="FF0000"/>
          <w:sz w:val="24"/>
        </w:rPr>
        <w:t xml:space="preserve">4° określenie minimalnego odsetka opakowań wielokrotnego użytku wprowadzanych do obrotu każdego roku w odniesieniu do każdego strumienia opakowań.</w:t>
      </w:r>
    </w:p>
    <w:p w14:paraId="7CDB617E" w14:textId="77777777" w:rsidR="000147DB" w:rsidRPr="003E7524" w:rsidRDefault="000147DB" w:rsidP="000147DB">
      <w:pPr>
        <w:spacing w:after="0" w:line="240" w:lineRule="auto"/>
        <w:jc w:val="both"/>
        <w:rPr>
          <w:rFonts w:eastAsia="Times New Roman" w:cs="Arial"/>
          <w:lang w:val="fr-LU" w:eastAsia="fr-FR"/>
        </w:rPr>
      </w:pPr>
    </w:p>
    <w:p w14:paraId="07381996" w14:textId="77777777" w:rsidR="000147DB" w:rsidRPr="003E7524" w:rsidRDefault="000147DB" w:rsidP="000147DB">
      <w:pPr>
        <w:spacing w:after="0" w:line="240" w:lineRule="auto"/>
        <w:jc w:val="both"/>
        <w:rPr>
          <w:rFonts w:eastAsia="Times New Roman" w:cs="Arial"/>
          <w:lang w:val="fr-FR" w:eastAsia="fr-FR"/>
        </w:rPr>
      </w:pPr>
    </w:p>
    <w:p w14:paraId="0E3A37E2" w14:textId="77777777" w:rsidR="000147DB" w:rsidRPr="003E7524" w:rsidRDefault="000147DB" w:rsidP="002F5A31">
      <w:pPr>
        <w:pStyle w:val="Liste10"/>
        <w:keepNext/>
        <w:keepLines/>
        <w:spacing w:before="240"/>
        <w:rPr>
          <w:b/>
          <w:color w:val="FF0000"/>
          <w:sz w:val="24"/>
          <w:szCs w:val="24"/>
          <w:rFonts w:cs="TimesNewRoman"/>
        </w:rPr>
      </w:pPr>
      <w:r>
        <w:rPr>
          <w:color w:val="FF0000"/>
          <w:sz w:val="24"/>
          <w:u w:val="single"/>
        </w:rPr>
        <w:t xml:space="preserve">Artykuł 6.</w:t>
      </w:r>
      <w:r>
        <w:rPr>
          <w:color w:val="FF0000"/>
          <w:sz w:val="24"/>
          <w:u w:val="single"/>
        </w:rPr>
        <w:t xml:space="preserve"> </w:t>
      </w:r>
      <w:r>
        <w:rPr>
          <w:color w:val="FF0000"/>
          <w:sz w:val="24"/>
          <w:u w:val="single"/>
        </w:rPr>
        <w:t xml:space="preserve">Odzysk i recykling</w:t>
      </w:r>
    </w:p>
    <w:p w14:paraId="6A7E88E7" w14:textId="77777777" w:rsidR="000147DB" w:rsidRPr="003E7524" w:rsidRDefault="000147DB" w:rsidP="002F5A31">
      <w:pPr>
        <w:pStyle w:val="Liste10"/>
        <w:keepNext/>
        <w:keepLines/>
        <w:spacing w:before="240"/>
        <w:rPr>
          <w:b/>
          <w:color w:val="FF0000"/>
          <w:sz w:val="24"/>
          <w:szCs w:val="24"/>
          <w:rFonts w:cs="TimesNewRoman"/>
        </w:rPr>
      </w:pPr>
      <w:r>
        <w:rPr>
          <w:color w:val="FF0000"/>
          <w:sz w:val="24"/>
        </w:rPr>
        <w:t xml:space="preserve">Podmioty odpowiedzialne za opakowania mają obowiązek osiągnąć następujące cele minimalne:</w:t>
      </w:r>
      <w:r>
        <w:rPr>
          <w:color w:val="FF0000"/>
          <w:sz w:val="24"/>
        </w:rPr>
        <w:t xml:space="preserve"> </w:t>
      </w:r>
    </w:p>
    <w:p w14:paraId="135701C7" w14:textId="77777777" w:rsidR="000147DB" w:rsidRPr="003E7524" w:rsidRDefault="000147DB" w:rsidP="000147DB">
      <w:pPr>
        <w:pStyle w:val="Liste10"/>
        <w:spacing w:before="240"/>
        <w:rPr>
          <w:b/>
          <w:color w:val="FF0000"/>
          <w:sz w:val="24"/>
          <w:szCs w:val="24"/>
          <w:rFonts w:cs="TimesNewRoman"/>
        </w:rPr>
      </w:pPr>
      <w:r>
        <w:rPr>
          <w:color w:val="FF0000"/>
          <w:sz w:val="24"/>
        </w:rPr>
        <w:t xml:space="preserve">1) 65 procent odpadów opakowaniowych ujętych wagowo podlega odzyskowi lub spaleniu w zakładach spalania odpadów z odzyskiem energii;</w:t>
      </w:r>
    </w:p>
    <w:p w14:paraId="0BEBEC70" w14:textId="77777777" w:rsidR="000147DB" w:rsidRPr="003E7524" w:rsidRDefault="000147DB" w:rsidP="000147DB">
      <w:pPr>
        <w:pStyle w:val="Liste10"/>
        <w:spacing w:before="240"/>
        <w:rPr>
          <w:b/>
          <w:color w:val="FF0000"/>
          <w:sz w:val="24"/>
          <w:szCs w:val="24"/>
          <w:rFonts w:cs="TimesNewRoman"/>
        </w:rPr>
      </w:pPr>
      <w:r>
        <w:rPr>
          <w:color w:val="FF0000"/>
          <w:sz w:val="24"/>
        </w:rPr>
        <w:t xml:space="preserve">2) 60 procent odpadów opakowaniowych ujętych wagowo podlega recyklingowi zgodnie z następującymi minimalnymi celami recyklingu w odniesieniu do materiałów zawartych w odpadach opakowaniowych:</w:t>
      </w:r>
      <w:r>
        <w:rPr>
          <w:color w:val="FF0000"/>
          <w:sz w:val="24"/>
        </w:rPr>
        <w:t xml:space="preserve"> </w:t>
      </w:r>
      <w:r>
        <w:rPr>
          <w:color w:val="FF0000"/>
          <w:sz w:val="24"/>
        </w:rPr>
        <w:t xml:space="preserve">60 procent odpadów szklanych ujętych wagowo, 60 procent papieru i kartonu ujętych wagowo, 50 procent metali ujętych wagowo, 22,5 procent tworzyw sztucznych ujętych wagowo, uwzględniając wyłącznie materiały poddane recyklingowi w postaci tworzyw sztucznych i 15 procent drewna ujętych wagowo.</w:t>
      </w:r>
    </w:p>
    <w:p w14:paraId="74DA408D" w14:textId="77777777" w:rsidR="000147DB" w:rsidRPr="003E7524" w:rsidRDefault="000147DB" w:rsidP="000147DB">
      <w:pPr>
        <w:pStyle w:val="Liste10"/>
        <w:spacing w:before="240"/>
        <w:rPr>
          <w:b/>
          <w:color w:val="FF0000"/>
          <w:sz w:val="24"/>
          <w:szCs w:val="24"/>
          <w:rFonts w:cs="TimesNewRoman"/>
        </w:rPr>
      </w:pPr>
      <w:r>
        <w:rPr>
          <w:color w:val="FF0000"/>
          <w:sz w:val="24"/>
        </w:rPr>
        <w:t xml:space="preserve">3) najpóźniej 31 grudnia 2025 r. co najmniej 65 procent wszystkich odpadów opakowaniowych ujętych wagowo podlega recyklingowi;</w:t>
      </w:r>
    </w:p>
    <w:p w14:paraId="73EB6671" w14:textId="77777777" w:rsidR="000147DB" w:rsidRPr="003E7524" w:rsidRDefault="000147DB" w:rsidP="002F5A31">
      <w:pPr>
        <w:pStyle w:val="Liste10"/>
        <w:keepNext/>
        <w:keepLines/>
        <w:spacing w:before="240"/>
        <w:rPr>
          <w:b/>
          <w:color w:val="FF0000"/>
          <w:sz w:val="24"/>
          <w:szCs w:val="24"/>
          <w:rFonts w:cs="TimesNewRoman"/>
        </w:rPr>
      </w:pPr>
      <w:r>
        <w:rPr>
          <w:color w:val="FF0000"/>
          <w:sz w:val="24"/>
        </w:rPr>
        <w:t xml:space="preserve">4) najpóźniej 31 grudnia 2025 r. należy osiągnąć następujące minimalne cele recyklingu w odniesieniu do następujących konkretnych surowców zawartych w odpadach opakowaniowych:</w:t>
      </w:r>
    </w:p>
    <w:p w14:paraId="28C5FBC2" w14:textId="77777777" w:rsidR="000147DB" w:rsidRPr="003E7524" w:rsidRDefault="000147DB" w:rsidP="000147DB">
      <w:pPr>
        <w:pStyle w:val="Liste10"/>
        <w:spacing w:before="240"/>
        <w:ind w:left="851"/>
        <w:rPr>
          <w:b/>
          <w:color w:val="FF0000"/>
          <w:sz w:val="24"/>
          <w:szCs w:val="24"/>
          <w:rFonts w:cs="TimesNewRoman"/>
        </w:rPr>
      </w:pPr>
      <w:r>
        <w:rPr>
          <w:color w:val="FF0000"/>
          <w:sz w:val="24"/>
        </w:rPr>
        <w:t xml:space="preserve">a) 50% wagowo w przypadku tworzyw sztucznych;</w:t>
      </w:r>
    </w:p>
    <w:p w14:paraId="4E57FAF2" w14:textId="77777777" w:rsidR="000147DB" w:rsidRPr="003E7524" w:rsidRDefault="000147DB" w:rsidP="000147DB">
      <w:pPr>
        <w:pStyle w:val="Liste10"/>
        <w:spacing w:before="240"/>
        <w:ind w:left="851"/>
        <w:rPr>
          <w:b/>
          <w:color w:val="FF0000"/>
          <w:sz w:val="24"/>
          <w:szCs w:val="24"/>
          <w:rFonts w:cs="TimesNewRoman"/>
        </w:rPr>
      </w:pPr>
      <w:r>
        <w:rPr>
          <w:color w:val="FF0000"/>
          <w:sz w:val="24"/>
        </w:rPr>
        <w:t xml:space="preserve">b) 25% wagowo w przypadku drewna;</w:t>
      </w:r>
    </w:p>
    <w:p w14:paraId="2042FBF8" w14:textId="77777777" w:rsidR="000147DB" w:rsidRPr="003E7524" w:rsidRDefault="000147DB" w:rsidP="000147DB">
      <w:pPr>
        <w:pStyle w:val="Liste10"/>
        <w:spacing w:before="240"/>
        <w:ind w:left="851"/>
        <w:rPr>
          <w:b/>
          <w:color w:val="FF0000"/>
          <w:sz w:val="24"/>
          <w:szCs w:val="24"/>
          <w:rFonts w:cs="TimesNewRoman"/>
        </w:rPr>
      </w:pPr>
      <w:r>
        <w:rPr>
          <w:color w:val="FF0000"/>
          <w:sz w:val="24"/>
        </w:rPr>
        <w:t xml:space="preserve">c) 70% wagowo w przypadku metali żelaznych;</w:t>
      </w:r>
    </w:p>
    <w:p w14:paraId="44C91BB4" w14:textId="77777777" w:rsidR="000147DB" w:rsidRPr="003E7524" w:rsidRDefault="000147DB" w:rsidP="000147DB">
      <w:pPr>
        <w:pStyle w:val="Liste10"/>
        <w:spacing w:before="240"/>
        <w:ind w:left="851"/>
        <w:rPr>
          <w:b/>
          <w:color w:val="FF0000"/>
          <w:sz w:val="24"/>
          <w:szCs w:val="24"/>
          <w:rFonts w:cs="TimesNewRoman"/>
        </w:rPr>
      </w:pPr>
      <w:r>
        <w:rPr>
          <w:color w:val="FF0000"/>
          <w:sz w:val="24"/>
        </w:rPr>
        <w:t xml:space="preserve">d) 50% wagowo w przypadku aluminium;</w:t>
      </w:r>
    </w:p>
    <w:p w14:paraId="7238B496" w14:textId="77777777" w:rsidR="000147DB" w:rsidRPr="003E7524" w:rsidRDefault="000147DB" w:rsidP="000147DB">
      <w:pPr>
        <w:pStyle w:val="Liste10"/>
        <w:spacing w:before="240"/>
        <w:ind w:left="851"/>
        <w:rPr>
          <w:b/>
          <w:color w:val="FF0000"/>
          <w:sz w:val="24"/>
          <w:szCs w:val="24"/>
          <w:rFonts w:cs="TimesNewRoman"/>
        </w:rPr>
      </w:pPr>
      <w:r>
        <w:rPr>
          <w:color w:val="FF0000"/>
          <w:sz w:val="24"/>
        </w:rPr>
        <w:t xml:space="preserve">e) 70% wagowo w przypadku szkła;</w:t>
      </w:r>
    </w:p>
    <w:p w14:paraId="0474C36D" w14:textId="77777777" w:rsidR="000147DB" w:rsidRPr="003E7524" w:rsidRDefault="000147DB" w:rsidP="000147DB">
      <w:pPr>
        <w:pStyle w:val="Liste10"/>
        <w:spacing w:before="240"/>
        <w:ind w:left="851"/>
        <w:rPr>
          <w:b/>
          <w:color w:val="FF0000"/>
          <w:sz w:val="24"/>
          <w:szCs w:val="24"/>
          <w:rFonts w:cs="TimesNewRoman"/>
        </w:rPr>
      </w:pPr>
      <w:r>
        <w:rPr>
          <w:color w:val="FF0000"/>
          <w:sz w:val="24"/>
        </w:rPr>
        <w:t xml:space="preserve">f) 75% wagowo w przypadku papieru i kartonu.</w:t>
      </w:r>
    </w:p>
    <w:p w14:paraId="0E79D37D" w14:textId="77777777" w:rsidR="000147DB" w:rsidRPr="00471E09" w:rsidRDefault="000147DB" w:rsidP="000147DB">
      <w:pPr>
        <w:pStyle w:val="Liste10"/>
        <w:spacing w:before="240"/>
        <w:rPr>
          <w:color w:val="FF0000"/>
          <w:sz w:val="24"/>
          <w:szCs w:val="24"/>
          <w:rFonts w:cs="TimesNewRoman"/>
        </w:rPr>
      </w:pPr>
      <w:r>
        <w:rPr>
          <w:color w:val="FF0000"/>
          <w:sz w:val="24"/>
        </w:rPr>
        <w:t xml:space="preserve">5) najpóźniej 31 grudnia 2030 r. co najmniej 70 procent wszystkich odpadów opakowaniowych ujętych wagowo podlega recyklingowi;</w:t>
      </w:r>
    </w:p>
    <w:p w14:paraId="72B3204C" w14:textId="77777777" w:rsidR="000147DB" w:rsidRPr="00471E09" w:rsidRDefault="000147DB" w:rsidP="002F5A31">
      <w:pPr>
        <w:pStyle w:val="Liste10"/>
        <w:keepNext/>
        <w:keepLines/>
        <w:spacing w:before="240"/>
        <w:rPr>
          <w:color w:val="FF0000"/>
          <w:sz w:val="24"/>
          <w:szCs w:val="24"/>
          <w:rFonts w:cs="TimesNewRoman"/>
        </w:rPr>
      </w:pPr>
      <w:r>
        <w:rPr>
          <w:color w:val="FF0000"/>
          <w:sz w:val="24"/>
        </w:rPr>
        <w:t xml:space="preserve">6) najpóźniej 31 grudnia 2030 r. należy osiągnąć następujące minimalne cele recyklingu w odniesieniu do konkretnych surowców zawartych w odpadach opakowaniowych:</w:t>
      </w:r>
    </w:p>
    <w:p w14:paraId="5CEB0529" w14:textId="77777777" w:rsidR="000147DB" w:rsidRPr="003E7524" w:rsidRDefault="000147DB" w:rsidP="000147DB">
      <w:pPr>
        <w:pStyle w:val="Liste10"/>
        <w:spacing w:before="240"/>
        <w:ind w:left="851"/>
        <w:rPr>
          <w:b/>
          <w:color w:val="FF0000"/>
          <w:sz w:val="24"/>
          <w:szCs w:val="24"/>
          <w:rFonts w:cs="TimesNewRoman"/>
        </w:rPr>
      </w:pPr>
      <w:r>
        <w:rPr>
          <w:color w:val="FF0000"/>
          <w:sz w:val="24"/>
        </w:rPr>
        <w:t xml:space="preserve">a) 55 % wagowo w przypadku tworzyw sztucznych;</w:t>
      </w:r>
    </w:p>
    <w:p w14:paraId="3F31D1FB" w14:textId="77777777" w:rsidR="000147DB" w:rsidRPr="003E7524" w:rsidRDefault="000147DB" w:rsidP="000147DB">
      <w:pPr>
        <w:pStyle w:val="Liste10"/>
        <w:spacing w:before="240"/>
        <w:ind w:left="851"/>
        <w:rPr>
          <w:b/>
          <w:color w:val="FF0000"/>
          <w:sz w:val="24"/>
          <w:szCs w:val="24"/>
          <w:rFonts w:cs="TimesNewRoman"/>
        </w:rPr>
      </w:pPr>
      <w:r>
        <w:rPr>
          <w:color w:val="FF0000"/>
          <w:sz w:val="24"/>
        </w:rPr>
        <w:t xml:space="preserve">b) 30 % wagowo w przypadku drewna;</w:t>
      </w:r>
    </w:p>
    <w:p w14:paraId="75516D16" w14:textId="77777777" w:rsidR="000147DB" w:rsidRPr="003E7524" w:rsidRDefault="000147DB" w:rsidP="000147DB">
      <w:pPr>
        <w:pStyle w:val="Liste10"/>
        <w:spacing w:before="240"/>
        <w:ind w:left="851"/>
        <w:rPr>
          <w:b/>
          <w:color w:val="FF0000"/>
          <w:sz w:val="24"/>
          <w:szCs w:val="24"/>
          <w:rFonts w:cs="TimesNewRoman"/>
        </w:rPr>
      </w:pPr>
      <w:r>
        <w:rPr>
          <w:color w:val="FF0000"/>
          <w:sz w:val="24"/>
        </w:rPr>
        <w:t xml:space="preserve">c) 80 % wagowo w przypadku metali żelaznych;</w:t>
      </w:r>
    </w:p>
    <w:p w14:paraId="4FD2DC34" w14:textId="77777777" w:rsidR="000147DB" w:rsidRPr="003E7524" w:rsidRDefault="000147DB" w:rsidP="000147DB">
      <w:pPr>
        <w:pStyle w:val="Liste10"/>
        <w:spacing w:before="240"/>
        <w:ind w:left="851"/>
        <w:rPr>
          <w:b/>
          <w:color w:val="FF0000"/>
          <w:sz w:val="24"/>
          <w:szCs w:val="24"/>
          <w:rFonts w:cs="TimesNewRoman"/>
        </w:rPr>
      </w:pPr>
      <w:r>
        <w:rPr>
          <w:color w:val="FF0000"/>
          <w:sz w:val="24"/>
        </w:rPr>
        <w:t xml:space="preserve">d) 60 % wagowo w przypadku aluminium;</w:t>
      </w:r>
    </w:p>
    <w:p w14:paraId="6756906E" w14:textId="77777777" w:rsidR="000147DB" w:rsidRPr="003E7524" w:rsidRDefault="000147DB" w:rsidP="000147DB">
      <w:pPr>
        <w:pStyle w:val="Liste10"/>
        <w:spacing w:before="240"/>
        <w:ind w:left="851"/>
        <w:rPr>
          <w:b/>
          <w:color w:val="FF0000"/>
          <w:sz w:val="24"/>
          <w:szCs w:val="24"/>
          <w:rFonts w:cs="TimesNewRoman"/>
        </w:rPr>
      </w:pPr>
      <w:r>
        <w:rPr>
          <w:color w:val="FF0000"/>
          <w:sz w:val="24"/>
        </w:rPr>
        <w:t xml:space="preserve">e) 75 % wagowo w przypadku szkła;</w:t>
      </w:r>
    </w:p>
    <w:p w14:paraId="7EEFA81F" w14:textId="77777777" w:rsidR="000147DB" w:rsidRPr="003E7524" w:rsidRDefault="000147DB" w:rsidP="000147DB">
      <w:pPr>
        <w:pStyle w:val="Liste10"/>
        <w:spacing w:before="240"/>
        <w:ind w:left="851"/>
        <w:rPr>
          <w:b/>
          <w:color w:val="FF0000"/>
          <w:sz w:val="24"/>
          <w:szCs w:val="24"/>
          <w:rFonts w:cs="TimesNewRoman"/>
        </w:rPr>
      </w:pPr>
      <w:r>
        <w:rPr>
          <w:color w:val="FF0000"/>
          <w:sz w:val="24"/>
        </w:rPr>
        <w:t xml:space="preserve">f) 85 % wagowo w przypadku papieru i kartonu.</w:t>
      </w:r>
    </w:p>
    <w:p w14:paraId="4B119723" w14:textId="77777777" w:rsidR="000147DB" w:rsidRPr="00471E09" w:rsidRDefault="000147DB" w:rsidP="000147DB">
      <w:pPr>
        <w:pStyle w:val="Liste10"/>
        <w:spacing w:before="240"/>
        <w:rPr>
          <w:color w:val="FF0000"/>
          <w:sz w:val="24"/>
          <w:szCs w:val="24"/>
          <w:rFonts w:cs="TimesNewRoman"/>
        </w:rPr>
      </w:pPr>
      <w:r>
        <w:rPr>
          <w:color w:val="FF0000"/>
          <w:sz w:val="24"/>
        </w:rPr>
        <w:t xml:space="preserve">Bez uszczerbku dla art. 14 Administracja Ochrony Środowiska dba, aby ww. obowiązki i cele były przedmiotem kampanii informacyjnej skierowanej do szerokiego grona odbiorców i podmiotów gospodarczych.</w:t>
      </w:r>
    </w:p>
    <w:p w14:paraId="7CDFE683" w14:textId="77777777" w:rsidR="000147DB" w:rsidRPr="003E7524" w:rsidRDefault="000147DB" w:rsidP="000147DB">
      <w:pPr>
        <w:spacing w:after="0" w:line="240" w:lineRule="auto"/>
        <w:jc w:val="both"/>
        <w:rPr>
          <w:rFonts w:eastAsia="Times New Roman" w:cs="Arial"/>
          <w:color w:val="FF0000"/>
          <w:lang w:val="fr-LU" w:eastAsia="fr-FR"/>
        </w:rPr>
      </w:pPr>
    </w:p>
    <w:p w14:paraId="349B36C3" w14:textId="77777777" w:rsidR="000147DB" w:rsidRPr="003E7524" w:rsidRDefault="000147DB" w:rsidP="002F5A31">
      <w:pPr>
        <w:keepNext/>
        <w:keepLines/>
        <w:spacing w:beforeLines="100" w:before="240" w:after="240" w:line="240" w:lineRule="auto"/>
        <w:jc w:val="both"/>
        <w:rPr>
          <w:color w:val="FF0000"/>
          <w:sz w:val="24"/>
          <w:szCs w:val="24"/>
          <w:rFonts w:eastAsia="Calibri" w:cs="TimesNewRoman"/>
        </w:rPr>
      </w:pPr>
      <w:r>
        <w:rPr>
          <w:color w:val="FF0000"/>
          <w:sz w:val="24"/>
          <w:u w:val="single"/>
        </w:rPr>
        <w:t xml:space="preserve">Artykuł 6 </w:t>
      </w:r>
      <w:r>
        <w:rPr>
          <w:color w:val="FF0000"/>
          <w:sz w:val="24"/>
          <w:u w:val="single"/>
          <w:i/>
        </w:rPr>
        <w:t xml:space="preserve">bis</w:t>
      </w:r>
      <w:r>
        <w:rPr>
          <w:color w:val="FF0000"/>
          <w:sz w:val="24"/>
          <w:u w:val="single"/>
        </w:rPr>
        <w:t xml:space="preserve">.</w:t>
      </w:r>
      <w:r>
        <w:rPr>
          <w:color w:val="FF0000"/>
          <w:sz w:val="24"/>
          <w:u w:val="single"/>
        </w:rPr>
        <w:t xml:space="preserve"> </w:t>
      </w:r>
      <w:r>
        <w:rPr>
          <w:color w:val="FF0000"/>
          <w:sz w:val="24"/>
          <w:u w:val="single"/>
        </w:rPr>
        <w:t xml:space="preserve">Zasady obliczania stopnia osiągnięcia celów</w:t>
      </w:r>
    </w:p>
    <w:p w14:paraId="4190A464" w14:textId="77777777" w:rsidR="000147DB" w:rsidRPr="003E7524" w:rsidRDefault="000147DB" w:rsidP="002F5A31">
      <w:pPr>
        <w:keepNext/>
        <w:keepLines/>
        <w:spacing w:beforeLines="100" w:before="240" w:after="240" w:line="240" w:lineRule="auto"/>
        <w:jc w:val="both"/>
        <w:rPr>
          <w:color w:val="FF0000"/>
          <w:sz w:val="24"/>
          <w:szCs w:val="24"/>
          <w:rFonts w:eastAsia="Calibri" w:cs="TimesNewRoman"/>
        </w:rPr>
      </w:pPr>
      <w:r>
        <w:rPr>
          <w:color w:val="FF0000"/>
          <w:sz w:val="24"/>
        </w:rPr>
        <w:t xml:space="preserve">(1) Aby obliczyć, czy cele wyznaczone w art. 6 ust. 1 pkt 3–6 zostały osiągnięte:</w:t>
      </w:r>
    </w:p>
    <w:p w14:paraId="64FF6A17" w14:textId="77777777" w:rsidR="000147DB" w:rsidRPr="003E7524" w:rsidRDefault="000147DB" w:rsidP="000147DB">
      <w:pPr>
        <w:spacing w:beforeLines="100" w:before="240" w:after="240" w:line="240" w:lineRule="auto"/>
        <w:ind w:left="720"/>
        <w:jc w:val="both"/>
        <w:rPr>
          <w:color w:val="FF0000"/>
          <w:sz w:val="24"/>
          <w:szCs w:val="24"/>
          <w:rFonts w:eastAsia="Calibri" w:cs="TimesNewRoman"/>
        </w:rPr>
      </w:pPr>
      <w:r>
        <w:rPr>
          <w:color w:val="FF0000"/>
          <w:sz w:val="24"/>
        </w:rPr>
        <w:t xml:space="preserve">1. oblicza się masę odpadów opakowaniowych wytworzonych i poddanych recyklingowi w danym roku kalendarzowym.</w:t>
      </w:r>
      <w:r>
        <w:rPr>
          <w:color w:val="FF0000"/>
          <w:sz w:val="24"/>
        </w:rPr>
        <w:t xml:space="preserve"> </w:t>
      </w:r>
      <w:r>
        <w:rPr>
          <w:color w:val="FF0000"/>
          <w:sz w:val="24"/>
        </w:rPr>
        <w:t xml:space="preserve">Wytworzone odpady opakowaniowe można uznać za równe ilości opakowań wprowadzonych na rynek w tym samym roku;</w:t>
      </w:r>
    </w:p>
    <w:p w14:paraId="3595E56C" w14:textId="77777777" w:rsidR="000147DB" w:rsidRPr="003E7524" w:rsidRDefault="000147DB" w:rsidP="000147DB">
      <w:pPr>
        <w:spacing w:beforeLines="100" w:before="240" w:after="240" w:line="240" w:lineRule="auto"/>
        <w:ind w:left="720"/>
        <w:jc w:val="both"/>
        <w:rPr>
          <w:color w:val="FF0000"/>
          <w:sz w:val="24"/>
          <w:szCs w:val="24"/>
          <w:rFonts w:eastAsia="Calibri" w:cs="TimesNewRoman"/>
        </w:rPr>
      </w:pPr>
      <w:r>
        <w:rPr>
          <w:color w:val="FF0000"/>
          <w:sz w:val="24"/>
        </w:rPr>
        <w:t xml:space="preserve">2. masę odpadów opakowaniowych poddanych recyklingowi oblicza się jako masę opakowań, które stały się odpadami i które – po przejściu wszystkich niezbędnych czynności kontrolnych, sortowania i innych czynności wstępnych mających na celu usunięcie materiałów odpadowych, które nie są przedmiotem późniejszego ponownego przetwarzania, oraz zapewnieniu wysokiej jakości recyklingu – wchodzą do procesu recyklingu, w ramach którego materiały odpadowe są faktycznie ponownie przetwarzane na produkty, materiały lub substancje.</w:t>
      </w:r>
    </w:p>
    <w:p w14:paraId="528F3DBE"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rPr>
        <w:t xml:space="preserve">(2) Do celów ust. 1 pkt 1 masę odpadów opakowaniowych poddanych recyklingowi mierzy się w momencie wprowadzenia odpadów do procesu recyklingu.</w:t>
      </w:r>
    </w:p>
    <w:p w14:paraId="5C40963C" w14:textId="77777777" w:rsidR="000147DB" w:rsidRPr="003E7524" w:rsidRDefault="000147DB" w:rsidP="002F5A31">
      <w:pPr>
        <w:keepNext/>
        <w:keepLines/>
        <w:spacing w:beforeLines="100" w:before="240" w:after="240" w:line="240" w:lineRule="auto"/>
        <w:jc w:val="both"/>
        <w:rPr>
          <w:color w:val="FF0000"/>
          <w:sz w:val="24"/>
          <w:szCs w:val="24"/>
          <w:rFonts w:eastAsia="Calibri" w:cs="TimesNewRoman"/>
        </w:rPr>
      </w:pPr>
      <w:r>
        <w:rPr>
          <w:color w:val="FF0000"/>
          <w:sz w:val="24"/>
        </w:rPr>
        <w:t xml:space="preserve">Na zasadzie odstępstwa od akapitu pierwszego masę odpadów opakowaniowych poddanych recyklingowi można mierzyć na wyjściu z dowolnej operacji sortowania, pod warunkiem że:</w:t>
      </w:r>
    </w:p>
    <w:p w14:paraId="34D0716F" w14:textId="77777777" w:rsidR="000147DB" w:rsidRPr="003E7524" w:rsidRDefault="000147DB" w:rsidP="000147DB">
      <w:pPr>
        <w:spacing w:beforeLines="100" w:before="240" w:after="240" w:line="240" w:lineRule="auto"/>
        <w:ind w:left="851"/>
        <w:jc w:val="both"/>
        <w:rPr>
          <w:color w:val="FF0000"/>
          <w:sz w:val="24"/>
          <w:szCs w:val="24"/>
          <w:rFonts w:eastAsia="Calibri" w:cs="TimesNewRoman"/>
        </w:rPr>
      </w:pPr>
      <w:r>
        <w:rPr>
          <w:color w:val="FF0000"/>
          <w:sz w:val="24"/>
        </w:rPr>
        <w:t xml:space="preserve">1. odpady po operacji sortowania są następnie poddane recyklingowi;</w:t>
      </w:r>
    </w:p>
    <w:p w14:paraId="3B9C8FE8" w14:textId="77777777" w:rsidR="000147DB" w:rsidRPr="003E7524" w:rsidRDefault="000147DB" w:rsidP="000147DB">
      <w:pPr>
        <w:spacing w:beforeLines="100" w:before="240" w:after="240" w:line="240" w:lineRule="auto"/>
        <w:ind w:left="851"/>
        <w:jc w:val="both"/>
        <w:rPr>
          <w:color w:val="FF0000"/>
          <w:sz w:val="24"/>
          <w:szCs w:val="24"/>
          <w:rFonts w:eastAsia="Calibri" w:cs="TimesNewRoman"/>
        </w:rPr>
      </w:pPr>
      <w:r>
        <w:rPr>
          <w:color w:val="FF0000"/>
          <w:sz w:val="24"/>
        </w:rPr>
        <w:t xml:space="preserve">2. masa materiałów lub substancji, które są usuwane w trakcie dalszych czynności poprzedzających operację recyklingu i nie są następnie poddawane recyklingowi, nie jest wliczana do masy odpadów zgłaszanych jako poddane recyklingowi.</w:t>
      </w:r>
    </w:p>
    <w:p w14:paraId="0049964B"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rPr>
        <w:t xml:space="preserve">(3) Aby zagwarantować przestrzeganie zasad obliczania i przekazywanie wszystkich informacji właściwym organom administracji tworzy się rejestr elektroniczny zgodnie z art. 34 ustawy z dnia 21 marca 2012 r.</w:t>
      </w:r>
      <w:r>
        <w:rPr>
          <w:color w:val="FF0000"/>
          <w:sz w:val="24"/>
        </w:rPr>
        <w:t xml:space="preserve"> </w:t>
      </w:r>
    </w:p>
    <w:p w14:paraId="22177B03"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rPr>
        <w:t xml:space="preserve">(4) Ilość odpadów opakowaniowych, które przestały być odpadami w wyniku działań wstępnych przed ponownym przetworzeniem, może zostać uznana za poddaną recyklingowi, pod warunkiem że takie materiały są przeznaczone do późniejszego powtórnego przetworzenia na produkty, materiały lub substancje używane zarówno do celów pierwotnych, jak i innych.</w:t>
      </w:r>
      <w:r>
        <w:rPr>
          <w:color w:val="FF0000"/>
          <w:sz w:val="24"/>
        </w:rPr>
        <w:t xml:space="preserve"> </w:t>
      </w:r>
      <w:r>
        <w:rPr>
          <w:color w:val="FF0000"/>
          <w:sz w:val="24"/>
        </w:rPr>
        <w:t xml:space="preserve">Jednakże na poczet osiągnięcia celów recyklingu nie są zaliczane materiały, które utraciły status odpadu, a które mają być użyte jako paliwa lub inne środki do wytwarzania energii, spalane, użyte do wypełniania wyrobisk lub składowane.</w:t>
      </w:r>
    </w:p>
    <w:p w14:paraId="79D6EBAB"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rPr>
        <w:t xml:space="preserve">(5) Aby obliczyć, czy cele ustanowione w art. 6 ust. 1 pkt 3–6 zostały osiągnięte, Administracja Ochrony Środowiska może uwzględnić recykling metali oddzielonych po spaleniu odpadów, proporcjonalnie do ilości spalanych odpadów opakowaniowych, pod warunkiem że te metale poddane recyklingowi spełniają niektóre kryteria jakościowe określone w akcie wykonawczym przyjętym zgodnie z art. 11a ust. 9 dyrektywy 2008/98/WE.</w:t>
      </w:r>
    </w:p>
    <w:p w14:paraId="451BF595"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rPr>
        <w:t xml:space="preserve">(6) Odpady opakowaniowe przekazane innemu państwu członkowskiemu Unii Europejskiej w celu recyklingu w tym państwie członkowskim mogą być zaliczone na poczet osiągnięcia celów określonych w art. 6 ust. 1 pkt 3–6 w Luksemburgu.</w:t>
      </w:r>
    </w:p>
    <w:p w14:paraId="5CA935B6"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rPr>
        <w:t xml:space="preserve">(7) Odpady opakowaniowe wywiezione z Unii Europejskiej są zaliczane na poczet realizacji celów ustanowionych w art. 6 ust. 1 jedynie w przypadku, gdy spełnione są wymogi określone w ust. 3 oraz gdy zgodnie z rozporządzeniem (WE) nr 1013/2006 Parlamentu Europejskiego i Rady z dnia 14 czerwca 2006 r. w sprawie przemieszczania odpadów eksporter może udowodnić, że przemieszczenie odpadów jest zgodne z wymogami tego rozporządzenia, a przetwarzanie odpadów opakowaniowych poza Unią odbyło się w warunkach zasadniczo równoważnych wymogom określonym we właściwych przepisach unijnego prawa ochrony środowiska.</w:t>
      </w:r>
    </w:p>
    <w:p w14:paraId="627E6620" w14:textId="77777777" w:rsidR="000147DB" w:rsidRPr="003E7524" w:rsidRDefault="000147DB" w:rsidP="000147DB">
      <w:pPr>
        <w:spacing w:after="0" w:line="240" w:lineRule="auto"/>
        <w:jc w:val="center"/>
        <w:rPr>
          <w:rFonts w:eastAsia="Calibri" w:cs="Arial"/>
          <w:lang w:val="fr-FR"/>
        </w:rPr>
      </w:pPr>
    </w:p>
    <w:p w14:paraId="2620BFC1" w14:textId="77777777" w:rsidR="000147DB" w:rsidRPr="003E7524" w:rsidRDefault="000147DB" w:rsidP="000147DB">
      <w:pPr>
        <w:spacing w:after="0" w:line="240" w:lineRule="auto"/>
        <w:jc w:val="both"/>
        <w:rPr>
          <w:rFonts w:eastAsia="Times New Roman" w:cs="Arial"/>
          <w:strike/>
          <w:color w:val="FF0000"/>
          <w:lang w:val="fr-FR" w:eastAsia="fr-FR"/>
        </w:rPr>
      </w:pPr>
    </w:p>
    <w:p w14:paraId="516918B1" w14:textId="77777777" w:rsidR="000147DB" w:rsidRPr="003E7524" w:rsidRDefault="000147DB" w:rsidP="000147DB">
      <w:pPr>
        <w:spacing w:after="0" w:line="240" w:lineRule="auto"/>
        <w:jc w:val="center"/>
        <w:rPr>
          <w:rFonts w:eastAsia="Calibri" w:cs="Arial"/>
          <w:color w:val="FF0000"/>
          <w:lang w:val="fr-FR"/>
        </w:rPr>
      </w:pPr>
    </w:p>
    <w:p w14:paraId="47E52660" w14:textId="77777777" w:rsidR="000147DB" w:rsidRPr="003E7524" w:rsidRDefault="000147DB" w:rsidP="002F5A31">
      <w:pPr>
        <w:keepNext/>
        <w:keepLines/>
        <w:shd w:val="clear" w:color="auto" w:fill="FFFFFF"/>
        <w:spacing w:before="142" w:after="28"/>
        <w:jc w:val="both"/>
        <w:rPr>
          <w:color w:val="FF0000"/>
          <w:sz w:val="24"/>
          <w:szCs w:val="24"/>
          <w:rFonts w:eastAsia="Calibri" w:cs="TimesNewRoman"/>
        </w:rPr>
      </w:pPr>
      <w:r>
        <w:rPr>
          <w:color w:val="FF0000"/>
          <w:sz w:val="24"/>
          <w:u w:val="single"/>
        </w:rPr>
        <w:t xml:space="preserve">Artykuł 7.</w:t>
      </w:r>
      <w:r>
        <w:rPr>
          <w:color w:val="FF0000"/>
          <w:sz w:val="24"/>
          <w:u w:val="single"/>
        </w:rPr>
        <w:t xml:space="preserve"> </w:t>
      </w:r>
      <w:r>
        <w:rPr>
          <w:color w:val="FF0000"/>
          <w:sz w:val="24"/>
          <w:u w:val="single"/>
        </w:rPr>
        <w:t xml:space="preserve">System odbioru, zbiórki i odzysku</w:t>
      </w:r>
    </w:p>
    <w:p w14:paraId="3CFE162E" w14:textId="77777777" w:rsidR="000147DB" w:rsidRPr="003E7524" w:rsidRDefault="000147DB" w:rsidP="002F5A31">
      <w:pPr>
        <w:keepNext/>
        <w:keepLines/>
        <w:shd w:val="clear" w:color="auto" w:fill="FFFFFF"/>
        <w:spacing w:before="100" w:beforeAutospacing="1" w:after="0" w:line="240" w:lineRule="auto"/>
        <w:jc w:val="both"/>
        <w:rPr>
          <w:color w:val="FF0000"/>
          <w:sz w:val="24"/>
          <w:szCs w:val="24"/>
          <w:rFonts w:eastAsia="Calibri" w:cs="TimesNewRoman"/>
        </w:rPr>
      </w:pPr>
      <w:r>
        <w:rPr>
          <w:color w:val="FF0000"/>
          <w:sz w:val="24"/>
        </w:rPr>
        <w:t xml:space="preserve">(1) Aby osiągnąć cele określone w art. 1 i zgodnie z ust. 2 podmioty odpowiedzialne za opakowania mają obowiązek zagwarantować, przy jednoczesnym przestrzeganiu wymogów higieny:</w:t>
      </w:r>
    </w:p>
    <w:p w14:paraId="7AA5AC5D" w14:textId="77777777" w:rsidR="000147DB" w:rsidRPr="003E7524" w:rsidRDefault="000147DB" w:rsidP="000147DB">
      <w:pPr>
        <w:shd w:val="clear" w:color="auto" w:fill="FFFFFF"/>
        <w:spacing w:before="100" w:beforeAutospacing="1" w:after="0" w:line="240" w:lineRule="auto"/>
        <w:ind w:left="720"/>
        <w:jc w:val="both"/>
        <w:rPr>
          <w:color w:val="FF0000"/>
          <w:sz w:val="24"/>
          <w:szCs w:val="24"/>
          <w:rFonts w:eastAsia="Calibri" w:cs="TimesNewRoman"/>
        </w:rPr>
      </w:pPr>
      <w:r>
        <w:rPr>
          <w:color w:val="FF0000"/>
          <w:sz w:val="24"/>
        </w:rPr>
        <w:t xml:space="preserve">1. odbiór lub zbiórkę zużytych opakowań lub odpadów opakowaniowych od konsumentów, użytkowników końcowych lub ze strumienia odpadów w celu zastosowania wobec nich najodpowiedniejszych rozwiązań z zakresu gospodarowania odpadami;</w:t>
      </w:r>
    </w:p>
    <w:p w14:paraId="40D25AD4" w14:textId="77777777" w:rsidR="000147DB" w:rsidRPr="003E7524" w:rsidRDefault="000147DB" w:rsidP="000147DB">
      <w:pPr>
        <w:shd w:val="clear" w:color="auto" w:fill="FFFFFF"/>
        <w:spacing w:before="100" w:beforeAutospacing="1" w:after="0" w:line="240" w:lineRule="auto"/>
        <w:ind w:left="720"/>
        <w:jc w:val="both"/>
        <w:rPr>
          <w:color w:val="FF0000"/>
          <w:sz w:val="24"/>
          <w:szCs w:val="24"/>
          <w:rFonts w:eastAsia="Calibri" w:cs="TimesNewRoman"/>
        </w:rPr>
      </w:pPr>
      <w:r>
        <w:rPr>
          <w:color w:val="FF0000"/>
          <w:sz w:val="24"/>
        </w:rPr>
        <w:t xml:space="preserve">2. wielokrotne wykorzystanie, przygotowanie do ponownego wykorzystania lub odzysku zebranych opakowań lub odpadów opakowaniowych, w tym recykling.</w:t>
      </w:r>
    </w:p>
    <w:p w14:paraId="60F35859"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rPr>
        <w:t xml:space="preserve">W systemach tych mogą uczestniczyć podmioty gospodarcze działające w danych sektorach oraz właściwe władze publiczne.</w:t>
      </w:r>
      <w:r>
        <w:rPr>
          <w:color w:val="FF0000"/>
          <w:sz w:val="24"/>
        </w:rPr>
        <w:t xml:space="preserve"> </w:t>
      </w:r>
      <w:r>
        <w:rPr>
          <w:color w:val="FF0000"/>
          <w:sz w:val="24"/>
        </w:rPr>
        <w:t xml:space="preserve">Systemy te mają także zastosowanie do wyrobów przywożonych na niedyskryminacyjnych warunkach, w tym do szczegółowych rozwiązań i opłat ewentualnie nakładanych za dostęp do systemu, oraz są tak skonstruowane, aby uniknąć przeszkód w handlu oraz zakłóceń konkurencji.</w:t>
      </w:r>
    </w:p>
    <w:p w14:paraId="7291264C"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rPr>
        <w:t xml:space="preserve">(2) W celu ograniczenia do minimum usuwania odpadów opakowaniowych w formie odpadów komunalnych i osiągnięcia wysokiego poziomu zbiórki selektywnej odpadów opakowaniowych stosuje się poniższe przepisy:</w:t>
      </w:r>
    </w:p>
    <w:p w14:paraId="457714E4" w14:textId="77777777" w:rsidR="000147DB" w:rsidRPr="003E7524" w:rsidRDefault="000147DB" w:rsidP="002F5A31">
      <w:pPr>
        <w:keepNext/>
        <w:keepLines/>
        <w:shd w:val="clear" w:color="auto" w:fill="FFFFFF"/>
        <w:spacing w:before="100" w:beforeAutospacing="1" w:after="0" w:line="240" w:lineRule="auto"/>
        <w:jc w:val="both"/>
        <w:rPr>
          <w:color w:val="FF0000"/>
          <w:sz w:val="24"/>
          <w:szCs w:val="24"/>
          <w:rFonts w:eastAsia="Calibri" w:cs="TimesNewRoman"/>
        </w:rPr>
      </w:pPr>
      <w:r>
        <w:rPr>
          <w:color w:val="FF0000"/>
          <w:sz w:val="24"/>
        </w:rPr>
        <w:t xml:space="preserve">a) w przypadku odpadów opakowaniowych z gospodarstw domowych:</w:t>
      </w:r>
    </w:p>
    <w:p w14:paraId="04693C3C" w14:textId="77777777" w:rsidR="000147DB" w:rsidRPr="003E7524" w:rsidRDefault="000147DB" w:rsidP="000147DB">
      <w:pPr>
        <w:spacing w:before="200" w:after="85" w:line="240" w:lineRule="auto"/>
        <w:ind w:left="375"/>
        <w:jc w:val="both"/>
        <w:rPr>
          <w:color w:val="FF0000"/>
          <w:sz w:val="24"/>
          <w:szCs w:val="24"/>
          <w:rFonts w:eastAsia="Calibri" w:cs="TimesNewRoman"/>
        </w:rPr>
      </w:pPr>
      <w:r>
        <w:rPr>
          <w:color w:val="FF0000"/>
          <w:sz w:val="24"/>
        </w:rPr>
        <w:t xml:space="preserve">bez uszczerbku dla obowiązków gmin lub związków gmin odpowiedzialnych za gospodarowanie odpadami komunalnymi z gospodarstw domowych zgodnie z ustawą z dnia 21 marca 2012 r. gminy lub związki gmin muszą zagwarantować dostępność systemów zbiórki selektywnej.</w:t>
      </w:r>
      <w:r>
        <w:rPr>
          <w:color w:val="FF0000"/>
          <w:sz w:val="24"/>
        </w:rPr>
        <w:t xml:space="preserve"> </w:t>
      </w:r>
      <w:r>
        <w:rPr>
          <w:color w:val="FF0000"/>
          <w:sz w:val="24"/>
        </w:rPr>
        <w:t xml:space="preserve">Gminy lub związki gmin muszą zapewnić, w stosownym przypadku z zatwierdzonymi organizacjami, dostępność i przystępność infrastruktury publicznej do selektywnej zbiórki odpadów opakowaniowych z gospodarstw domowych, umożliwiającej użytkownikom końcowym co najmniej bezpłatne przekazanie odpadów opakowaniowych.</w:t>
      </w:r>
    </w:p>
    <w:p w14:paraId="54386F43" w14:textId="77777777" w:rsidR="000147DB" w:rsidRPr="003E7524" w:rsidRDefault="000147DB" w:rsidP="000147DB">
      <w:pPr>
        <w:spacing w:before="200" w:after="85" w:line="240" w:lineRule="auto"/>
        <w:ind w:left="375"/>
        <w:jc w:val="both"/>
        <w:rPr>
          <w:color w:val="FF0000"/>
          <w:sz w:val="24"/>
          <w:szCs w:val="24"/>
          <w:rFonts w:eastAsia="Calibri" w:cs="TimesNewRoman"/>
        </w:rPr>
      </w:pPr>
      <w:r>
        <w:rPr>
          <w:color w:val="FF0000"/>
          <w:sz w:val="24"/>
        </w:rPr>
        <w:t xml:space="preserve">Zatwierdzone organizacje są upoważnione do organizowania i eksploatowania systemów odbioru odpadów opakowaniowych z gospodarstw domowych, alternatywnych lub uzupełniających, pod warunkiem że systemy te będą zgodne z celami niniejszej ustawy, będą gwarantować taki sam zasięg terytorialny co systemy wprowadzone przez gminy lub związki gmin i zapewnią co najmniej nieodpłatny odbiór odpadów opakowaniowych z gospodarstw domowych.</w:t>
      </w:r>
    </w:p>
    <w:p w14:paraId="1411304A" w14:textId="77777777" w:rsidR="000147DB" w:rsidRPr="003E7524" w:rsidRDefault="000147DB" w:rsidP="000147DB">
      <w:pPr>
        <w:shd w:val="clear" w:color="auto" w:fill="FFFFFF"/>
        <w:spacing w:before="100" w:beforeAutospacing="1" w:after="0" w:line="240" w:lineRule="auto"/>
        <w:ind w:left="375"/>
        <w:jc w:val="both"/>
        <w:rPr>
          <w:color w:val="FF0000"/>
          <w:sz w:val="24"/>
          <w:szCs w:val="24"/>
          <w:rFonts w:eastAsia="Calibri" w:cs="TimesNewRoman"/>
        </w:rPr>
      </w:pPr>
      <w:r>
        <w:rPr>
          <w:color w:val="FF0000"/>
          <w:sz w:val="24"/>
        </w:rPr>
        <w:t xml:space="preserve">Użytkownicy opakowań z gospodarstw domowych mają obowiązek posługiwania się systemami odbioru selektywnej zbiórki odpadów opakowaniowych z gospodarstw domowych, które są im udostępniane przez gminy lub związki gmin lub przez zatwierdzone organizacje;</w:t>
      </w:r>
    </w:p>
    <w:p w14:paraId="72763D47"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rPr>
        <w:t xml:space="preserve">b) w przypadku odpadów opakowaniowych innych niż z gospodarstw domowych:</w:t>
      </w:r>
    </w:p>
    <w:p w14:paraId="3D19C80D" w14:textId="77777777" w:rsidR="000147DB" w:rsidRPr="003E7524" w:rsidRDefault="000147DB" w:rsidP="000147DB">
      <w:pPr>
        <w:shd w:val="clear" w:color="auto" w:fill="FFFFFF"/>
        <w:spacing w:before="100" w:beforeAutospacing="1" w:after="0" w:line="240" w:lineRule="auto"/>
        <w:ind w:left="375"/>
        <w:jc w:val="both"/>
        <w:rPr>
          <w:color w:val="FF0000"/>
          <w:sz w:val="24"/>
          <w:szCs w:val="24"/>
          <w:rFonts w:eastAsia="Calibri" w:cs="TimesNewRoman"/>
        </w:rPr>
      </w:pPr>
      <w:r>
        <w:rPr>
          <w:color w:val="FF0000"/>
          <w:sz w:val="24"/>
        </w:rPr>
        <w:t xml:space="preserve">podmioty odpowiedzialne za opakowania inne niż z gospodarstw domowych zapewniają zbiórkę i odzysk takich odpadów w ramach systemu rozszerzonej odpowiedzialności producentów, o którym mowa w art. 8 niniejszej ustawy.</w:t>
      </w:r>
    </w:p>
    <w:p w14:paraId="211C6CEC" w14:textId="165B29C7" w:rsidR="000147DB" w:rsidRPr="00471E09"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rPr>
        <w:t xml:space="preserve">(3) Zakłady lub przedsiębiorstwa, o których mowa w art. 30 ust. 1 </w:t>
      </w:r>
      <w:hyperlink r:id="rId4" w:history="1">
        <w:r>
          <w:rPr>
            <w:color w:val="FF0000"/>
            <w:sz w:val="24"/>
            <w:szCs w:val="24"/>
          </w:rPr>
          <w:t xml:space="preserve">ustawy z dnia 21 marca 2012 r.</w:t>
        </w:r>
      </w:hyperlink>
      <w:r>
        <w:rPr>
          <w:color w:val="FF0000"/>
          <w:sz w:val="24"/>
        </w:rPr>
        <w:t xml:space="preserve"> mogą przeprowadzać zbiórkę odpadów opakowaniowych stanowiących odpady komunalne lub je przewozić tylko w takim zakresie, w jakim są do tego upoważnione przez zatwierdzone organizacje.</w:t>
      </w:r>
    </w:p>
    <w:p w14:paraId="5A8B572D" w14:textId="03908A6C"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rPr>
        <w:t xml:space="preserve"> </w:t>
      </w:r>
      <w:r>
        <w:rPr>
          <w:color w:val="FF0000"/>
          <w:sz w:val="24"/>
        </w:rPr>
        <w:t xml:space="preserve">(4) Opakowania na napoje przeznaczone do spożycia przez ludzi, które zostały wprowadzone na rynek luksemburski, podlegają jednolitemu krajowemu systemowi kaucyjnemu.</w:t>
      </w:r>
      <w:r>
        <w:rPr>
          <w:color w:val="FF0000"/>
          <w:sz w:val="24"/>
        </w:rPr>
        <w:t xml:space="preserve"> </w:t>
      </w:r>
      <w:r>
        <w:rPr>
          <w:color w:val="FF0000"/>
          <w:sz w:val="24"/>
        </w:rPr>
        <w:t xml:space="preserve">Kwota kaucji waha się w zależności od rodzaju opakowania od 10 centów do 1 euro.</w:t>
      </w:r>
      <w:r>
        <w:rPr>
          <w:color w:val="FF0000"/>
          <w:sz w:val="24"/>
        </w:rPr>
        <w:t xml:space="preserve"> </w:t>
      </w:r>
      <w:r>
        <w:rPr>
          <w:color w:val="FF0000"/>
          <w:sz w:val="24"/>
        </w:rPr>
        <w:t xml:space="preserve">Data i zasady wdrażania systemu kaucyjnego są określone w drodze rozporządzenia wielkoksiążęcego.</w:t>
      </w:r>
      <w:r>
        <w:rPr>
          <w:color w:val="FF0000"/>
          <w:sz w:val="24"/>
        </w:rPr>
        <w:t xml:space="preserve"> </w:t>
      </w:r>
    </w:p>
    <w:p w14:paraId="2E9C3117" w14:textId="77777777" w:rsidR="000147DB" w:rsidRPr="003E7524" w:rsidRDefault="000147DB" w:rsidP="000147DB">
      <w:pPr>
        <w:spacing w:after="0" w:line="240" w:lineRule="auto"/>
        <w:jc w:val="both"/>
        <w:rPr>
          <w:rFonts w:eastAsia="Times New Roman" w:cs="Arial"/>
          <w:b/>
          <w:bCs/>
          <w:lang w:val="fr-LU" w:eastAsia="fr-FR"/>
        </w:rPr>
      </w:pPr>
    </w:p>
    <w:p w14:paraId="39140DBB" w14:textId="77777777" w:rsidR="000147DB" w:rsidRPr="003E7524" w:rsidRDefault="000147DB" w:rsidP="000147DB">
      <w:pPr>
        <w:spacing w:after="0" w:line="240" w:lineRule="auto"/>
        <w:jc w:val="both"/>
        <w:rPr>
          <w:rFonts w:eastAsia="Times New Roman" w:cs="Arial"/>
          <w:b/>
          <w:bCs/>
          <w:lang w:val="fr-FR" w:eastAsia="fr-FR"/>
        </w:rPr>
      </w:pPr>
    </w:p>
    <w:p w14:paraId="515F989F" w14:textId="77777777" w:rsidR="000147DB" w:rsidRPr="003E7524" w:rsidRDefault="000147DB" w:rsidP="000147DB">
      <w:pPr>
        <w:spacing w:after="0" w:line="240" w:lineRule="auto"/>
        <w:jc w:val="both"/>
        <w:rPr>
          <w:rFonts w:eastAsia="Times New Roman" w:cs="Arial"/>
          <w:strike/>
          <w:color w:val="FF0000"/>
          <w:lang w:val="fr-FR" w:eastAsia="fr-FR"/>
        </w:rPr>
      </w:pPr>
    </w:p>
    <w:p w14:paraId="5B6EF5DC" w14:textId="77777777" w:rsidR="000147DB" w:rsidRPr="003E7524" w:rsidRDefault="000147DB" w:rsidP="002F5A31">
      <w:pPr>
        <w:keepNext/>
        <w:keepLines/>
        <w:shd w:val="clear" w:color="auto" w:fill="FFFFFF"/>
        <w:spacing w:before="100" w:beforeAutospacing="1" w:after="0" w:line="240" w:lineRule="auto"/>
        <w:jc w:val="both"/>
        <w:rPr>
          <w:color w:val="FF0000"/>
          <w:sz w:val="24"/>
          <w:szCs w:val="24"/>
          <w:rFonts w:eastAsia="Calibri" w:cs="TimesNewRoman"/>
        </w:rPr>
      </w:pPr>
      <w:r>
        <w:rPr>
          <w:color w:val="FF0000"/>
          <w:sz w:val="24"/>
        </w:rPr>
        <w:t xml:space="preserve">Artykuł 8.</w:t>
      </w:r>
      <w:r>
        <w:rPr>
          <w:color w:val="FF0000"/>
          <w:sz w:val="24"/>
          <w:u w:val="single"/>
        </w:rPr>
        <w:t xml:space="preserve"> </w:t>
      </w:r>
      <w:r>
        <w:rPr>
          <w:color w:val="FF0000"/>
          <w:sz w:val="24"/>
          <w:u w:val="single"/>
        </w:rPr>
        <w:t xml:space="preserve">Podmioty odpowiedzialne za opakowania i zatwierdzone organizacje</w:t>
      </w:r>
    </w:p>
    <w:p w14:paraId="4ADADA8E"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rPr>
        <w:t xml:space="preserve">(1) Podmiot odpowiedzialny za opakowania podlega systemowi rozszerzonej odpowiedzialności producentów, o którym mowa w art. 19 ustawy z dnia 21 marca 2012 r. w celu wykonania obowiązków spoczywających na nim w ramach niniejszej ustawy, a także obowiązków na mocy ustawy o ocenie oddziaływania niektórych produktów z tworzyw sztucznych na środowisko.</w:t>
      </w:r>
      <w:r>
        <w:rPr>
          <w:color w:val="FF0000"/>
          <w:sz w:val="24"/>
        </w:rPr>
        <w:t xml:space="preserve"> </w:t>
      </w:r>
    </w:p>
    <w:p w14:paraId="48FF4710"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rPr>
        <w:t xml:space="preserve">W przypadku opakowań z gospodarstw domowych wielokrotnego użytku, dla których istnieje system odbioru, podmiot ten może umownie zobowiązać zatwierdzoną organizację do wykonania tego obowiązku częściowo lub w całości.</w:t>
      </w:r>
      <w:r>
        <w:rPr>
          <w:color w:val="FF0000"/>
          <w:sz w:val="24"/>
        </w:rPr>
        <w:t xml:space="preserve"> </w:t>
      </w:r>
      <w:r>
        <w:rPr>
          <w:color w:val="FF0000"/>
          <w:sz w:val="24"/>
        </w:rPr>
        <w:t xml:space="preserve">W przypadku pozostałych opakowań z gospodarstw domowych podmiot ten musi umownie zobowiązać zatwierdzoną organizację do wykonania tego obowiązku.</w:t>
      </w:r>
      <w:r>
        <w:rPr>
          <w:color w:val="FF0000"/>
          <w:sz w:val="24"/>
        </w:rPr>
        <w:t xml:space="preserve"> </w:t>
      </w:r>
      <w:r>
        <w:rPr>
          <w:color w:val="FF0000"/>
          <w:sz w:val="24"/>
        </w:rPr>
        <w:t xml:space="preserve">W przypadku opakowań innych niż z gospodarstw domowych podmiot ten musi umownie zobowiązać zatwierdzoną organizację do wykonania tego obowiązku częściowo lub w całości.</w:t>
      </w:r>
      <w:r>
        <w:rPr>
          <w:color w:val="FF0000"/>
          <w:sz w:val="24"/>
        </w:rPr>
        <w:t xml:space="preserve"> </w:t>
      </w:r>
    </w:p>
    <w:p w14:paraId="0456039D"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rPr>
        <w:t xml:space="preserve">(2) W przypadku odpadów opakowaniowych, które są objęte gospodarowaniem scentralizowanym, zatwierdzone organizację zapewniają, każda w swoim zakresie, finansowanie gospodarowania odpadami, w tym operacji przygotowania do ponownego wykorzystania, z punktu zbiórki odpadów przekazywanych dobrowolnie.</w:t>
      </w:r>
    </w:p>
    <w:p w14:paraId="72D5467E"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rPr>
        <w:t xml:space="preserve">W przypadku odpadów opakowaniowych, które nie są objęte gospodarowaniem scentralizowanym, zasady udziału finansowego zatwierdzonych organizacji w selektywnej zbiórce takich odpadów są określone za wspólnym porozumieniem między tymi organizacjami a odpowiednimi gminami.</w:t>
      </w:r>
      <w:r>
        <w:rPr>
          <w:color w:val="FF0000"/>
          <w:sz w:val="24"/>
        </w:rPr>
        <w:t xml:space="preserve"> </w:t>
      </w:r>
      <w:r>
        <w:rPr>
          <w:color w:val="FF0000"/>
          <w:sz w:val="24"/>
        </w:rPr>
        <w:t xml:space="preserve">Wszystkie koszty gospodarowania odpadami, w tym operacje przygotowania do ponownego wykorzystania, muszą być pokryte z wkładów podmiotów odpowiedzialnych za opakowania.</w:t>
      </w:r>
    </w:p>
    <w:p w14:paraId="7AFE5345" w14:textId="77777777" w:rsidR="000147DB" w:rsidRPr="003E7524" w:rsidRDefault="000147DB" w:rsidP="002F5A31">
      <w:pPr>
        <w:keepNext/>
        <w:keepLines/>
        <w:shd w:val="clear" w:color="auto" w:fill="FFFFFF"/>
        <w:spacing w:before="100" w:beforeAutospacing="1" w:after="0" w:line="240" w:lineRule="auto"/>
        <w:jc w:val="both"/>
        <w:rPr>
          <w:color w:val="FF0000"/>
          <w:sz w:val="24"/>
          <w:szCs w:val="24"/>
          <w:rFonts w:eastAsia="Calibri" w:cs="TimesNewRoman"/>
        </w:rPr>
      </w:pPr>
      <w:r>
        <w:rPr>
          <w:color w:val="FF0000"/>
          <w:sz w:val="24"/>
        </w:rPr>
        <w:t xml:space="preserve">(3) Ponadto zatwierdzona organizacja ma obowiązek:</w:t>
      </w:r>
    </w:p>
    <w:p w14:paraId="09CD75E1"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rPr>
        <w:t xml:space="preserve">1° obliczyć składki swoich kontrahentów w celu sfinansowania kosztu związanego ze zbiórkami aktualnymi i przyszłymi oraz, na podstawie segregacji zebranych odpadów opakowaniowych, operacji przygotowania do ponownego wykorzystania i przetwarzania odpadów opakowaniowych, a także kosztów informowania osób wytwarzających odpady oraz kosztów przekazywania i gromadzenia informacji.</w:t>
      </w:r>
      <w:r>
        <w:rPr>
          <w:color w:val="FF0000"/>
          <w:sz w:val="24"/>
        </w:rPr>
        <w:t xml:space="preserve"> </w:t>
      </w:r>
      <w:r>
        <w:rPr>
          <w:color w:val="FF0000"/>
          <w:sz w:val="24"/>
        </w:rPr>
        <w:t xml:space="preserve">Uwzględnione koszty nie mogą przekraczać kosztów niezbędnych do skutecznej ekonomicznie obsługi;</w:t>
      </w:r>
    </w:p>
    <w:p w14:paraId="2A2FFD4D"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rPr>
        <w:t xml:space="preserve">2° zawrzeć umowę z gminami lub związkami gmin odpowiedzialnymi za gospodarowanie odpadami komunalnymi z gospodarstw domowych, która definiuje w szczególności warunki i zasady techniczne zbiórki odpadów opakowaniowych i przejęcia odpadów opakowaniowych.</w:t>
      </w:r>
      <w:r>
        <w:rPr>
          <w:color w:val="FF0000"/>
          <w:sz w:val="24"/>
        </w:rPr>
        <w:t xml:space="preserve"> </w:t>
      </w:r>
    </w:p>
    <w:p w14:paraId="0E152E2B"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rPr>
        <w:t xml:space="preserve">W żadnym wypadku umowa nie może stanowić uszczerbku dla kompetencji gmin lub związków gmin odpowiedzialnych za gospodarowanie odpadami komunalnymi w tym zakresie;</w:t>
      </w:r>
    </w:p>
    <w:p w14:paraId="5D98EE21"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rPr>
        <w:t xml:space="preserve">3° co roku, w ramach sprawozdania, o którym mowa w art. 35 ust. 2 ustawy z dnia 21 marca 2012 r., przekazać ministrowi informacje o umowach zawartych z gminami lub związkami gmin odpowiedzialnymi za gospodarowanie odpadami komunalnymi z gospodarstw domowych.</w:t>
      </w:r>
      <w:r>
        <w:rPr>
          <w:color w:val="FF0000"/>
          <w:sz w:val="24"/>
        </w:rPr>
        <w:t xml:space="preserve"> </w:t>
      </w:r>
    </w:p>
    <w:p w14:paraId="4EF43EE8"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rPr>
        <w:t xml:space="preserve">(4) Gospodarowanie odpadami opakowaniowymi musi odbywać się zgodnie z hierarchią odpadów, o której mowa w art. 9 ustawy z dnia 21 marca 2012 r.</w:t>
      </w:r>
      <w:r>
        <w:rPr>
          <w:color w:val="FF0000"/>
          <w:sz w:val="24"/>
        </w:rPr>
        <w:t xml:space="preserve"> </w:t>
      </w:r>
    </w:p>
    <w:p w14:paraId="0B1E18BC" w14:textId="77777777" w:rsidR="000147DB" w:rsidRPr="003E7524" w:rsidRDefault="000147DB" w:rsidP="000147DB">
      <w:pPr>
        <w:spacing w:after="0" w:line="240" w:lineRule="auto"/>
        <w:jc w:val="both"/>
        <w:rPr>
          <w:rFonts w:eastAsia="Times New Roman" w:cs="Arial"/>
          <w:strike/>
          <w:color w:val="FF0000"/>
          <w:lang w:val="fr-LU" w:eastAsia="fr-FR"/>
        </w:rPr>
      </w:pPr>
    </w:p>
    <w:p w14:paraId="1CA79E98" w14:textId="77777777" w:rsidR="000147DB" w:rsidRPr="003E7524" w:rsidRDefault="000147DB" w:rsidP="000147DB">
      <w:pPr>
        <w:spacing w:after="0" w:line="240" w:lineRule="auto"/>
        <w:jc w:val="both"/>
        <w:rPr>
          <w:rFonts w:eastAsia="Times New Roman" w:cs="Arial"/>
          <w:strike/>
          <w:color w:val="FF0000"/>
          <w:lang w:val="fr-FR" w:eastAsia="fr-FR"/>
        </w:rPr>
      </w:pPr>
    </w:p>
    <w:p w14:paraId="657BECD5" w14:textId="77777777" w:rsidR="000147DB" w:rsidRPr="003E7524" w:rsidRDefault="000147DB" w:rsidP="000147DB">
      <w:pPr>
        <w:spacing w:after="0" w:line="240" w:lineRule="auto"/>
        <w:jc w:val="both"/>
        <w:rPr>
          <w:rFonts w:eastAsia="Times New Roman" w:cs="Arial"/>
          <w:strike/>
          <w:color w:val="FF0000"/>
          <w:lang w:val="fr-FR" w:eastAsia="fr-FR"/>
        </w:rPr>
      </w:pPr>
    </w:p>
    <w:p w14:paraId="5E398962" w14:textId="77777777" w:rsidR="000147DB" w:rsidRPr="003E7524" w:rsidRDefault="000147DB" w:rsidP="002F5A31">
      <w:pPr>
        <w:keepNext/>
        <w:keepLines/>
        <w:spacing w:after="0" w:line="240" w:lineRule="auto"/>
        <w:jc w:val="both"/>
        <w:rPr>
          <w:rFonts w:eastAsia="Times New Roman" w:cs="Arial"/>
        </w:rPr>
      </w:pPr>
      <w:r>
        <w:rPr>
          <w:b/>
        </w:rPr>
        <w:t xml:space="preserve">Artykuł 9.</w:t>
      </w:r>
      <w:r>
        <w:rPr>
          <w:b/>
        </w:rPr>
        <w:t xml:space="preserve"> </w:t>
      </w:r>
      <w:r>
        <w:rPr>
          <w:b/>
        </w:rPr>
        <w:t xml:space="preserve">Wymogi zasadnicze</w:t>
      </w:r>
    </w:p>
    <w:p w14:paraId="605864EB" w14:textId="77777777" w:rsidR="000147DB" w:rsidRPr="003E7524" w:rsidRDefault="000147DB" w:rsidP="000147DB">
      <w:pPr>
        <w:spacing w:after="0" w:line="240" w:lineRule="auto"/>
        <w:jc w:val="both"/>
        <w:rPr>
          <w:rFonts w:eastAsia="Times New Roman" w:cs="Arial"/>
        </w:rPr>
      </w:pPr>
      <w:r>
        <w:t xml:space="preserve">Opakowanie może zostać wprowadzone na rynek luksemburski tylko wtedy, gdy spełnia wszystkie wymogi zasadnicze, o których mowa w załączniku I.</w:t>
      </w:r>
    </w:p>
    <w:p w14:paraId="3A246FED" w14:textId="77777777" w:rsidR="000147DB" w:rsidRPr="003E7524" w:rsidRDefault="000147DB" w:rsidP="000147DB">
      <w:pPr>
        <w:spacing w:after="0" w:line="240" w:lineRule="auto"/>
        <w:jc w:val="both"/>
        <w:rPr>
          <w:rFonts w:eastAsia="Times New Roman" w:cs="Arial"/>
          <w:lang w:val="fr-FR" w:eastAsia="fr-FR"/>
        </w:rPr>
      </w:pPr>
    </w:p>
    <w:p w14:paraId="22E6A7CC" w14:textId="77777777" w:rsidR="000147DB" w:rsidRPr="003E7524" w:rsidRDefault="000147DB" w:rsidP="002F5A31">
      <w:pPr>
        <w:keepNext/>
        <w:keepLines/>
        <w:spacing w:after="0" w:line="240" w:lineRule="auto"/>
        <w:jc w:val="both"/>
        <w:rPr>
          <w:b/>
          <w:bCs/>
          <w:iCs/>
          <w:rFonts w:eastAsia="Times New Roman" w:cs="Arial"/>
        </w:rPr>
      </w:pPr>
      <w:r>
        <w:rPr>
          <w:b/>
        </w:rPr>
        <w:t xml:space="preserve">Artykuł 10.</w:t>
      </w:r>
      <w:r>
        <w:rPr>
          <w:b/>
        </w:rPr>
        <w:t xml:space="preserve"> </w:t>
      </w:r>
      <w:r>
        <w:rPr>
          <w:b/>
        </w:rPr>
        <w:t xml:space="preserve">System identyfikacyjny</w:t>
      </w:r>
    </w:p>
    <w:p w14:paraId="05C008A4" w14:textId="77777777" w:rsidR="000147DB" w:rsidRPr="003E7524" w:rsidRDefault="000147DB" w:rsidP="002F5A31">
      <w:pPr>
        <w:keepNext/>
        <w:keepLines/>
        <w:spacing w:after="0" w:line="240" w:lineRule="auto"/>
        <w:jc w:val="both"/>
        <w:rPr>
          <w:rFonts w:eastAsia="Times New Roman" w:cs="Arial"/>
          <w:b/>
          <w:bCs/>
          <w:iCs/>
          <w:lang w:val="fr-FR" w:eastAsia="fr-FR"/>
        </w:rPr>
      </w:pPr>
    </w:p>
    <w:p w14:paraId="331832A7" w14:textId="77777777" w:rsidR="000147DB" w:rsidRPr="003E7524" w:rsidRDefault="000147DB" w:rsidP="002F5A31">
      <w:pPr>
        <w:keepNext/>
        <w:keepLines/>
        <w:spacing w:after="0" w:line="240" w:lineRule="auto"/>
        <w:jc w:val="both"/>
        <w:rPr>
          <w:rFonts w:eastAsia="Times New Roman" w:cs="Arial"/>
          <w:b/>
          <w:lang w:val="fr-FR" w:eastAsia="fr-FR"/>
        </w:rPr>
      </w:pPr>
    </w:p>
    <w:p w14:paraId="425BF78D" w14:textId="77777777" w:rsidR="000147DB" w:rsidRPr="003E7524" w:rsidRDefault="000147DB" w:rsidP="002F5A31">
      <w:pPr>
        <w:keepNext/>
        <w:keepLines/>
        <w:spacing w:after="0" w:line="240" w:lineRule="auto"/>
        <w:jc w:val="both"/>
        <w:rPr>
          <w:rFonts w:eastAsia="Times New Roman" w:cs="Arial"/>
          <w:lang w:val="fr-FR" w:eastAsia="fr-FR"/>
        </w:rPr>
      </w:pPr>
    </w:p>
    <w:p w14:paraId="5D34AF9E" w14:textId="38F1F05F"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rPr>
        <w:t xml:space="preserve">(1) W celu ułatwienia zbiórki, wielokrotnego wykorzystania, przygotowania do ponownego wykorzystania i odzysku, w tym recyklingu, opakowania zawierają informacje o charakterze użytego materiału lub użytych materiałów opakowaniowych w celu umożliwienia identyfikacji i klasyfikacji przez dany sektor na podstawie decyzji Komisji 97/129/WE z dnia 28 stycznia 1997 r. ustanawiającej system identyfikacji materiałów opakowaniowych zgodnie z dyrektywą Parlamentu Europejskiego i Rady 94/62/WE w sprawie opakowań i odpadów opakowaniowych.</w:t>
      </w:r>
      <w:r>
        <w:rPr>
          <w:color w:val="FF0000"/>
          <w:sz w:val="24"/>
        </w:rPr>
        <w:t xml:space="preserve"> </w:t>
      </w:r>
    </w:p>
    <w:p w14:paraId="4942209B" w14:textId="77777777" w:rsidR="000147DB" w:rsidRPr="003E7524" w:rsidRDefault="000147DB" w:rsidP="000147DB">
      <w:pPr>
        <w:spacing w:after="0" w:line="240" w:lineRule="auto"/>
        <w:jc w:val="both"/>
        <w:rPr>
          <w:rFonts w:eastAsia="Times New Roman" w:cs="Arial"/>
          <w:lang w:val="fr-FR" w:eastAsia="fr-FR"/>
        </w:rPr>
      </w:pPr>
    </w:p>
    <w:p w14:paraId="08E9BCD8" w14:textId="77777777" w:rsidR="000147DB" w:rsidRPr="003E7524" w:rsidRDefault="000147DB" w:rsidP="000147DB">
      <w:pPr>
        <w:spacing w:after="0" w:line="240" w:lineRule="auto"/>
        <w:jc w:val="both"/>
        <w:rPr>
          <w:rFonts w:eastAsia="Times New Roman" w:cs="Arial"/>
        </w:rPr>
      </w:pPr>
      <w:r>
        <w:t xml:space="preserve">(2) W zakresie, w jakim jest to wymagane, odpowiednie oznakowanie umieszcza się na opakowaniu lub na etykiecie.</w:t>
      </w:r>
      <w:r>
        <w:t xml:space="preserve"> </w:t>
      </w:r>
      <w:r>
        <w:t xml:space="preserve">Oznakowanie musi być wyraźnie widoczne i czytelne.</w:t>
      </w:r>
      <w:r>
        <w:t xml:space="preserve"> </w:t>
      </w:r>
      <w:r>
        <w:t xml:space="preserve">Oznakowanie musi mieć odpowiednią żywotność; również wtedy, gdy opakowanie jest otwarte.</w:t>
      </w:r>
    </w:p>
    <w:p w14:paraId="09FE587A" w14:textId="77777777" w:rsidR="000147DB" w:rsidRPr="003E7524" w:rsidRDefault="000147DB" w:rsidP="000147DB">
      <w:pPr>
        <w:spacing w:after="0" w:line="240" w:lineRule="auto"/>
        <w:jc w:val="both"/>
        <w:rPr>
          <w:rFonts w:eastAsia="Times New Roman" w:cs="Arial"/>
          <w:lang w:val="fr-FR" w:eastAsia="fr-FR"/>
        </w:rPr>
      </w:pPr>
    </w:p>
    <w:p w14:paraId="7D950806" w14:textId="77777777" w:rsidR="000147DB" w:rsidRPr="003E7524" w:rsidRDefault="000147DB" w:rsidP="002F5A31">
      <w:pPr>
        <w:keepNext/>
        <w:keepLines/>
        <w:spacing w:after="0" w:line="240" w:lineRule="auto"/>
        <w:jc w:val="both"/>
        <w:rPr>
          <w:b/>
          <w:color w:val="000000"/>
          <w:rFonts w:eastAsia="Times New Roman" w:cs="Arial"/>
        </w:rPr>
      </w:pPr>
      <w:r>
        <w:rPr>
          <w:b/>
          <w:color w:val="000000"/>
        </w:rPr>
        <w:t xml:space="preserve">Artykuł 11.</w:t>
      </w:r>
      <w:r>
        <w:rPr>
          <w:b/>
          <w:color w:val="000000"/>
        </w:rPr>
        <w:t xml:space="preserve"> </w:t>
      </w:r>
      <w:r>
        <w:rPr>
          <w:b/>
          <w:color w:val="000000"/>
        </w:rPr>
        <w:t xml:space="preserve">Poziomy stężenia metali ciężkich w opakowaniach</w:t>
      </w:r>
    </w:p>
    <w:p w14:paraId="5961C7DD" w14:textId="77777777" w:rsidR="000147DB" w:rsidRPr="003E7524" w:rsidRDefault="000147DB" w:rsidP="000147DB">
      <w:pPr>
        <w:spacing w:after="0" w:line="240" w:lineRule="auto"/>
        <w:jc w:val="both"/>
        <w:rPr>
          <w:color w:val="000000"/>
          <w:rFonts w:eastAsia="Times New Roman" w:cs="Arial"/>
        </w:rPr>
      </w:pPr>
      <w:r>
        <w:rPr>
          <w:color w:val="000000"/>
        </w:rPr>
        <w:t xml:space="preserve">(1) Suma poziomów stężenia ołowiu, kadmu, rtęci i chromu sześciowartościowego obecnych w opakowaniu lub jego elementach nie może przekraczać 100 ppm wagowo.</w:t>
      </w:r>
    </w:p>
    <w:p w14:paraId="173D4287" w14:textId="77777777" w:rsidR="000147DB" w:rsidRPr="003E7524" w:rsidRDefault="000147DB" w:rsidP="000147DB">
      <w:pPr>
        <w:spacing w:after="0" w:line="240" w:lineRule="auto"/>
        <w:jc w:val="both"/>
        <w:rPr>
          <w:color w:val="000000"/>
          <w:rFonts w:eastAsia="Times New Roman" w:cs="Arial"/>
        </w:rPr>
      </w:pPr>
      <w:r>
        <w:rPr>
          <w:color w:val="000000"/>
        </w:rPr>
        <w:t xml:space="preserve">(2) Poziomy stężenia, o których mowa w ust. 1</w:t>
      </w:r>
      <w:r>
        <w:rPr>
          <w:color w:val="000000"/>
        </w:rPr>
        <w:t xml:space="preserve">, nie mają zastosowania do opakowań wykonanych w całości ze szkła kryształowego</w:t>
      </w:r>
      <w:r>
        <w:rPr>
          <w:color w:val="000000"/>
        </w:rPr>
        <w:t xml:space="preserve">.</w:t>
      </w:r>
    </w:p>
    <w:p w14:paraId="242DF555" w14:textId="77777777" w:rsidR="000147DB" w:rsidRPr="003E7524" w:rsidRDefault="000147DB" w:rsidP="000147DB">
      <w:pPr>
        <w:spacing w:after="0" w:line="240" w:lineRule="auto"/>
        <w:jc w:val="both"/>
        <w:rPr>
          <w:rFonts w:eastAsia="Times New Roman" w:cs="Arial"/>
          <w:lang w:val="fr-FR" w:eastAsia="fr-FR"/>
        </w:rPr>
      </w:pPr>
    </w:p>
    <w:p w14:paraId="122991E0" w14:textId="77777777" w:rsidR="000147DB" w:rsidRPr="003E7524" w:rsidRDefault="000147DB" w:rsidP="002F5A31">
      <w:pPr>
        <w:keepNext/>
        <w:keepLines/>
        <w:spacing w:after="0" w:line="240" w:lineRule="auto"/>
        <w:jc w:val="both"/>
        <w:rPr>
          <w:b/>
          <w:rFonts w:eastAsia="Times New Roman" w:cs="Arial"/>
        </w:rPr>
      </w:pPr>
      <w:r>
        <w:rPr>
          <w:b/>
        </w:rPr>
        <w:t xml:space="preserve">Artykuł 12.</w:t>
      </w:r>
      <w:r>
        <w:rPr>
          <w:b/>
        </w:rPr>
        <w:t xml:space="preserve"> </w:t>
      </w:r>
      <w:r>
        <w:rPr>
          <w:b/>
        </w:rPr>
        <w:t xml:space="preserve">Systemy informacji</w:t>
      </w:r>
    </w:p>
    <w:p w14:paraId="5FCE099A" w14:textId="77777777" w:rsidR="000147DB" w:rsidRPr="003E7524" w:rsidRDefault="000147DB" w:rsidP="000147DB">
      <w:pPr>
        <w:spacing w:after="0" w:line="240" w:lineRule="auto"/>
        <w:jc w:val="both"/>
        <w:rPr>
          <w:rFonts w:eastAsia="Times New Roman" w:cs="Arial"/>
        </w:rPr>
      </w:pPr>
      <w:r>
        <w:t xml:space="preserve">(1) Bazy danych, o których mowa w załączniku III do dyrektywy 94/62/WE Parlamentu Europejskiego i Rady z dnia 20 grudnia 1994 r. w sprawie opakowań i odpadów opakowaniowych zmienionej aktami delegowanymi Komisji Europejskiej przyjętymi zgodnie z art. 19 tej dyrektywy, są zarządzane przez Administracji Ochrony Środowiska;</w:t>
      </w:r>
      <w:r>
        <w:t xml:space="preserve"> </w:t>
      </w:r>
      <w:r>
        <w:t xml:space="preserve">Zawierają one informacje na temat wielkości, właściwości i zmian strumienia opakowań i odpadów opakowaniowych, w tym informacje dotyczące toksyczności i niebezpiecznego charakteru materiałów opakowaniowych i elementów używanych do ich wytworzenia.</w:t>
      </w:r>
    </w:p>
    <w:p w14:paraId="7E5340DE" w14:textId="77777777" w:rsidR="000147DB" w:rsidRPr="003E7524" w:rsidRDefault="000147DB" w:rsidP="000147DB">
      <w:pPr>
        <w:spacing w:after="0" w:line="240" w:lineRule="auto"/>
        <w:jc w:val="both"/>
        <w:rPr>
          <w:rFonts w:eastAsia="Times New Roman" w:cs="Arial"/>
        </w:rPr>
      </w:pPr>
      <w:r>
        <w:t xml:space="preserve">(2) Odpowiednie podmioty gospodarcze muszą dostarczyć Administracji Ochrony Środowiska wiarygodne dane dotyczące ich sektora, które są wymagane na mocy niniejszego artykułu.</w:t>
      </w:r>
      <w:r>
        <w:t xml:space="preserve"> </w:t>
      </w:r>
      <w:r>
        <w:t xml:space="preserve">Administracja Ochrony Środowiska uwzględnia szczególne problemy małych i średnich przedsiębiorstw związane z dostarczeniem szczegółowych danych.</w:t>
      </w:r>
    </w:p>
    <w:p w14:paraId="5AEC8260" w14:textId="77777777" w:rsidR="000147DB" w:rsidRPr="003E7524" w:rsidRDefault="000147DB" w:rsidP="000147DB">
      <w:pPr>
        <w:spacing w:after="0" w:line="240" w:lineRule="auto"/>
        <w:jc w:val="both"/>
        <w:rPr>
          <w:rFonts w:eastAsia="Times New Roman" w:cs="Arial"/>
          <w:lang w:val="fr-FR" w:eastAsia="fr-FR"/>
        </w:rPr>
      </w:pPr>
    </w:p>
    <w:p w14:paraId="3E529549" w14:textId="77777777" w:rsidR="000147DB" w:rsidRPr="003E7524" w:rsidRDefault="000147DB" w:rsidP="000147DB">
      <w:pPr>
        <w:spacing w:after="0" w:line="240" w:lineRule="auto"/>
        <w:jc w:val="both"/>
        <w:rPr>
          <w:rFonts w:eastAsia="Times New Roman" w:cs="Arial"/>
          <w:lang w:val="fr-FR" w:eastAsia="fr-FR"/>
        </w:rPr>
      </w:pPr>
    </w:p>
    <w:p w14:paraId="0135E764" w14:textId="77777777" w:rsidR="000147DB" w:rsidRPr="003E7524" w:rsidRDefault="000147DB" w:rsidP="002F5A31">
      <w:pPr>
        <w:keepNext/>
        <w:keepLines/>
        <w:spacing w:after="0" w:line="240" w:lineRule="auto"/>
        <w:jc w:val="both"/>
        <w:rPr>
          <w:rFonts w:eastAsia="Times New Roman" w:cs="Arial"/>
        </w:rPr>
      </w:pPr>
      <w:r>
        <w:rPr>
          <w:b/>
        </w:rPr>
        <w:t xml:space="preserve">Artykuł 14.</w:t>
      </w:r>
      <w:r>
        <w:rPr>
          <w:b/>
        </w:rPr>
        <w:t xml:space="preserve"> </w:t>
      </w:r>
      <w:r>
        <w:rPr>
          <w:b/>
        </w:rPr>
        <w:t xml:space="preserve">Informacje dla użytkowników opakowań</w:t>
      </w:r>
    </w:p>
    <w:p w14:paraId="0BFAA0F4" w14:textId="77777777" w:rsidR="000147DB" w:rsidRPr="003E7524" w:rsidRDefault="000147DB" w:rsidP="000147DB">
      <w:pPr>
        <w:spacing w:after="0" w:line="240" w:lineRule="auto"/>
        <w:jc w:val="both"/>
        <w:rPr>
          <w:rFonts w:eastAsia="Times New Roman" w:cs="Arial"/>
        </w:rPr>
      </w:pPr>
      <w:r>
        <w:t xml:space="preserve">(1) Podmioty odpowiedzialne za opakowania lub zatwierdzone organizacje muszą, każdy w swoim zakresie, powiadomić użytkowników opakowań, w tym konsumentów, o:</w:t>
      </w:r>
    </w:p>
    <w:p w14:paraId="28FD57E8" w14:textId="77777777" w:rsidR="000147DB" w:rsidRPr="003E7524" w:rsidRDefault="000147DB" w:rsidP="000147DB">
      <w:pPr>
        <w:spacing w:after="0" w:line="240" w:lineRule="auto"/>
        <w:jc w:val="both"/>
        <w:rPr>
          <w:rFonts w:eastAsia="Times New Roman" w:cs="Arial"/>
        </w:rPr>
      </w:pPr>
      <w:r>
        <w:t xml:space="preserve">możliwościach zapobiegania wytwarzaniu odpadów opakowaniowych;</w:t>
      </w:r>
    </w:p>
    <w:p w14:paraId="1A222528" w14:textId="77777777" w:rsidR="000147DB" w:rsidRPr="003E7524" w:rsidRDefault="000147DB" w:rsidP="000147DB">
      <w:pPr>
        <w:spacing w:after="0" w:line="240" w:lineRule="auto"/>
        <w:jc w:val="both"/>
        <w:rPr>
          <w:rFonts w:eastAsia="Times New Roman" w:cs="Arial"/>
        </w:rPr>
      </w:pPr>
      <w:r>
        <w:t xml:space="preserve">dostępnych systemach zwrotu, zbiórki i odzysku oraz ich wkładzie w ponowne wykorzystanie, odzysk i recykling opakowań i odpadów opakowaniowych;</w:t>
      </w:r>
    </w:p>
    <w:p w14:paraId="2AF81E67" w14:textId="77777777" w:rsidR="000147DB" w:rsidRPr="003E7524" w:rsidRDefault="000147DB" w:rsidP="000147DB">
      <w:pPr>
        <w:spacing w:after="0" w:line="240" w:lineRule="auto"/>
        <w:jc w:val="both"/>
        <w:rPr>
          <w:rFonts w:eastAsia="Times New Roman" w:cs="Arial"/>
        </w:rPr>
      </w:pPr>
      <w:r>
        <w:t xml:space="preserve">szkodliwym oddziaływaniu na środowisko nadmiernego zużycia toreb plastikowych;</w:t>
      </w:r>
    </w:p>
    <w:p w14:paraId="0BB30D5B" w14:textId="77777777" w:rsidR="000147DB" w:rsidRPr="003E7524" w:rsidRDefault="000147DB" w:rsidP="000147DB">
      <w:pPr>
        <w:spacing w:after="0" w:line="240" w:lineRule="auto"/>
        <w:jc w:val="both"/>
        <w:rPr>
          <w:rFonts w:eastAsia="Times New Roman" w:cs="Arial"/>
        </w:rPr>
      </w:pPr>
      <w:r>
        <w:t xml:space="preserve">odpowiednich elementach planu zagospodarowania opakowań i odpadów opakowaniowych, które stanowią część krajowego planu gospodarowania odpadami lub są przedmiotem specjalnego planu zgodnie z ustawą z dnia 21 marca 2012 r.</w:t>
      </w:r>
    </w:p>
    <w:p w14:paraId="6F14132A" w14:textId="77777777" w:rsidR="000147DB" w:rsidRPr="003E7524" w:rsidRDefault="000147DB" w:rsidP="000147DB">
      <w:pPr>
        <w:spacing w:after="0" w:line="240" w:lineRule="auto"/>
        <w:jc w:val="both"/>
        <w:rPr>
          <w:rFonts w:eastAsia="Times New Roman" w:cs="Arial"/>
          <w:color w:val="FF0000"/>
          <w:lang w:val="fr-FR" w:eastAsia="fr-FR"/>
        </w:rPr>
      </w:pPr>
    </w:p>
    <w:p w14:paraId="7030362B" w14:textId="51AC38F2" w:rsidR="000147DB" w:rsidRPr="003E7524" w:rsidRDefault="000147DB" w:rsidP="000147DB">
      <w:pPr>
        <w:spacing w:after="0" w:line="240" w:lineRule="auto"/>
        <w:jc w:val="both"/>
        <w:rPr>
          <w:rFonts w:eastAsia="Times New Roman" w:cs="Arial"/>
        </w:rPr>
      </w:pPr>
      <w:r>
        <w:t xml:space="preserve">(2) Osoby, które oferują do sprzedaży produkty w opakowaniach, dbają o to, aby konsument końcowy został poinformowany w odpowiedni sposób w punktach sprzedaży o możliwości ponownego wykorzystania lub odzysku, w tym recyklingu, opakowania oraz o systemie odbioru, w tym w szczególności zbiórki opakowania.</w:t>
      </w:r>
    </w:p>
    <w:p w14:paraId="049AF441"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rPr>
        <w:t xml:space="preserve">Odpowiednie oznakowanie umieszcza się na opakowaniu lub na etykiecie.</w:t>
      </w:r>
      <w:r>
        <w:rPr>
          <w:color w:val="FF0000"/>
          <w:sz w:val="24"/>
        </w:rPr>
        <w:t xml:space="preserve"> </w:t>
      </w:r>
      <w:r>
        <w:rPr>
          <w:color w:val="FF0000"/>
          <w:sz w:val="24"/>
        </w:rPr>
        <w:t xml:space="preserve">Oznakowanie musi być wyraźnie widoczne i czytelne.</w:t>
      </w:r>
      <w:r>
        <w:rPr>
          <w:color w:val="FF0000"/>
          <w:sz w:val="24"/>
        </w:rPr>
        <w:t xml:space="preserve"> </w:t>
      </w:r>
      <w:r>
        <w:rPr>
          <w:color w:val="FF0000"/>
          <w:sz w:val="24"/>
        </w:rPr>
        <w:t xml:space="preserve">Oznakowanie musi mieć odpowiednią żywotność, również wtedy, gdy opakowanie jest otwarte.</w:t>
      </w:r>
      <w:r>
        <w:rPr>
          <w:color w:val="FF0000"/>
          <w:sz w:val="24"/>
        </w:rPr>
        <w:t xml:space="preserve"> </w:t>
      </w:r>
    </w:p>
    <w:p w14:paraId="479912FE" w14:textId="77777777" w:rsidR="000147DB" w:rsidRPr="003E7524" w:rsidRDefault="000147DB" w:rsidP="000147DB">
      <w:pPr>
        <w:spacing w:after="0" w:line="240" w:lineRule="auto"/>
        <w:jc w:val="both"/>
        <w:rPr>
          <w:rFonts w:eastAsia="Times New Roman" w:cs="Arial"/>
          <w:lang w:val="fr-FR" w:eastAsia="fr-FR"/>
        </w:rPr>
      </w:pPr>
    </w:p>
    <w:p w14:paraId="567A68A6" w14:textId="77777777" w:rsidR="000147DB" w:rsidRPr="003E7524" w:rsidRDefault="000147DB" w:rsidP="000147DB">
      <w:pPr>
        <w:spacing w:after="0" w:line="240" w:lineRule="auto"/>
        <w:jc w:val="both"/>
        <w:rPr>
          <w:rFonts w:eastAsia="Times New Roman" w:cs="Arial"/>
        </w:rPr>
      </w:pPr>
      <w:r>
        <w:t xml:space="preserve">(3) Działania informacyjne, o których mowa w ust. 1 i 2, uzupełniają w stosownym przypadku kampanie uświadamiające prowadzone we współpracy z Administracją Ochrony Środowiska.</w:t>
      </w:r>
    </w:p>
    <w:p w14:paraId="310D81FF" w14:textId="77777777" w:rsidR="000147DB" w:rsidRPr="003E7524" w:rsidRDefault="000147DB" w:rsidP="000147DB">
      <w:pPr>
        <w:spacing w:after="0" w:line="240" w:lineRule="auto"/>
        <w:jc w:val="both"/>
        <w:rPr>
          <w:rFonts w:eastAsia="Times New Roman" w:cs="Arial"/>
          <w:lang w:val="fr-FR" w:eastAsia="fr-FR"/>
        </w:rPr>
      </w:pPr>
    </w:p>
    <w:p w14:paraId="6E40D75F" w14:textId="77777777" w:rsidR="000147DB" w:rsidRPr="003E7524" w:rsidRDefault="000147DB" w:rsidP="000147DB">
      <w:pPr>
        <w:spacing w:after="0" w:line="240" w:lineRule="auto"/>
        <w:jc w:val="both"/>
        <w:rPr>
          <w:rFonts w:eastAsia="Times New Roman" w:cs="Arial"/>
          <w:lang w:val="fr-FR" w:eastAsia="fr-FR"/>
        </w:rPr>
      </w:pPr>
    </w:p>
    <w:p w14:paraId="48933925" w14:textId="77777777" w:rsidR="000147DB" w:rsidRPr="003E7524" w:rsidRDefault="000147DB" w:rsidP="000147DB">
      <w:pPr>
        <w:spacing w:after="0" w:line="240" w:lineRule="auto"/>
        <w:jc w:val="both"/>
        <w:rPr>
          <w:rFonts w:eastAsia="Times New Roman" w:cs="Arial"/>
          <w:strike/>
          <w:color w:val="FF0000"/>
          <w:lang w:val="fr-FR" w:eastAsia="fr-FR"/>
        </w:rPr>
      </w:pPr>
    </w:p>
    <w:p w14:paraId="53040DFE" w14:textId="77777777" w:rsidR="000147DB" w:rsidRPr="003E7524" w:rsidRDefault="000147DB" w:rsidP="002F5A31">
      <w:pPr>
        <w:keepNext/>
        <w:keepLines/>
        <w:autoSpaceDE w:val="0"/>
        <w:autoSpaceDN w:val="0"/>
        <w:adjustRightInd w:val="0"/>
        <w:spacing w:after="0" w:line="240" w:lineRule="auto"/>
        <w:jc w:val="both"/>
        <w:rPr>
          <w:color w:val="FF0000"/>
          <w:sz w:val="24"/>
          <w:szCs w:val="24"/>
          <w:rFonts w:eastAsia="Calibri" w:cs="TimesNewRoman"/>
        </w:rPr>
      </w:pPr>
      <w:r>
        <w:rPr>
          <w:color w:val="FF0000"/>
          <w:sz w:val="24"/>
          <w:u w:val="single"/>
        </w:rPr>
        <w:t xml:space="preserve">Artykuł 15.</w:t>
      </w:r>
      <w:r>
        <w:rPr>
          <w:color w:val="FF0000"/>
          <w:sz w:val="24"/>
          <w:u w:val="single"/>
        </w:rPr>
        <w:t xml:space="preserve"> </w:t>
      </w:r>
      <w:r>
        <w:rPr>
          <w:color w:val="FF0000"/>
          <w:sz w:val="24"/>
          <w:u w:val="single"/>
        </w:rPr>
        <w:t xml:space="preserve">Raporty</w:t>
      </w:r>
    </w:p>
    <w:p w14:paraId="5D99A309" w14:textId="77777777" w:rsidR="000147DB" w:rsidRPr="003E7524" w:rsidRDefault="000147DB" w:rsidP="002F5A31">
      <w:pPr>
        <w:keepNext/>
        <w:keepLines/>
        <w:autoSpaceDE w:val="0"/>
        <w:autoSpaceDN w:val="0"/>
        <w:adjustRightInd w:val="0"/>
        <w:spacing w:after="0" w:line="240" w:lineRule="auto"/>
        <w:jc w:val="both"/>
        <w:rPr>
          <w:rFonts w:eastAsia="Calibri" w:cs="TimesNewRoman"/>
          <w:color w:val="FF0000"/>
          <w:sz w:val="24"/>
          <w:szCs w:val="24"/>
          <w:lang w:val="fr-FR" w:eastAsia="fr-BE"/>
        </w:rPr>
      </w:pPr>
    </w:p>
    <w:p w14:paraId="6A108156"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rPr>
        <w:t xml:space="preserve">Każdy podmiot odpowiedzialny za opakowania, który wprowadza do obrotu lekkie torby plastikowe, musi przekazać zatwierdzonej organizacji deklarację, w której określa roczną ilość takich toreb.</w:t>
      </w:r>
      <w:r>
        <w:rPr>
          <w:color w:val="FF0000"/>
          <w:sz w:val="24"/>
        </w:rPr>
        <w:t xml:space="preserve"> </w:t>
      </w:r>
    </w:p>
    <w:p w14:paraId="7B36C2F6" w14:textId="203BBF9C"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rPr>
        <w:t xml:space="preserve">Zatwierdzona organizacja musi zgłosić tę ilość właściwym organom administracji w ramach raportu, o którym mowa w art. 35 ust. 2 ustawy z dnia 21 marca 2012 r.</w:t>
      </w:r>
      <w:r>
        <w:rPr>
          <w:color w:val="FF0000"/>
          <w:sz w:val="24"/>
        </w:rPr>
        <w:t xml:space="preserve"> </w:t>
      </w:r>
      <w:r>
        <w:rPr>
          <w:color w:val="FF0000"/>
          <w:sz w:val="24"/>
        </w:rPr>
        <w:t xml:space="preserve">Bardzo lekkie torby plastikowe w rozumieniu art. 3 pkt 17 są wyłączone.</w:t>
      </w:r>
      <w:r>
        <w:rPr>
          <w:color w:val="FF0000"/>
          <w:sz w:val="24"/>
        </w:rPr>
        <w:t xml:space="preserve"> </w:t>
      </w:r>
    </w:p>
    <w:p w14:paraId="7EE24D00" w14:textId="77777777" w:rsidR="000147DB" w:rsidRPr="003E7524" w:rsidRDefault="000147DB" w:rsidP="000147DB">
      <w:pPr>
        <w:spacing w:after="0" w:line="240" w:lineRule="auto"/>
        <w:jc w:val="both"/>
        <w:rPr>
          <w:rFonts w:eastAsia="Times New Roman" w:cs="Arial"/>
          <w:strike/>
          <w:color w:val="FF0000"/>
          <w:lang w:val="fr-FR" w:eastAsia="fr-FR"/>
        </w:rPr>
      </w:pPr>
    </w:p>
    <w:p w14:paraId="4AB10018" w14:textId="77777777" w:rsidR="000147DB" w:rsidRPr="00471E09" w:rsidRDefault="000147DB" w:rsidP="00B972B3">
      <w:pPr>
        <w:keepNext/>
        <w:keepLines/>
        <w:spacing w:after="0" w:line="240" w:lineRule="auto"/>
        <w:jc w:val="both"/>
        <w:rPr>
          <w:b/>
          <w:rFonts w:eastAsia="Times New Roman" w:cs="Arial"/>
        </w:rPr>
      </w:pPr>
      <w:r>
        <w:rPr>
          <w:b/>
        </w:rPr>
        <w:t xml:space="preserve">Artykuł 16.</w:t>
      </w:r>
      <w:r>
        <w:rPr>
          <w:b/>
        </w:rPr>
        <w:t xml:space="preserve"> </w:t>
      </w:r>
      <w:r>
        <w:rPr>
          <w:b/>
        </w:rPr>
        <w:t xml:space="preserve">Kontrole do przeprowadzenia</w:t>
      </w:r>
      <w:r>
        <w:rPr>
          <w:b/>
        </w:rPr>
        <w:t xml:space="preserve"> </w:t>
      </w:r>
    </w:p>
    <w:p w14:paraId="035D85BE" w14:textId="77777777" w:rsidR="000147DB" w:rsidRPr="003E7524" w:rsidRDefault="000147DB" w:rsidP="000147DB">
      <w:pPr>
        <w:spacing w:after="0" w:line="240" w:lineRule="auto"/>
        <w:jc w:val="both"/>
        <w:rPr>
          <w:rFonts w:eastAsia="Times New Roman" w:cs="Arial"/>
        </w:rPr>
      </w:pPr>
      <w:r>
        <w:t xml:space="preserve">(1) Weryfikacja sprawozdania rocznego zgodnie z art. 35 ust. 2 ustawy z dnia 21 marca 2012 r.</w:t>
      </w:r>
    </w:p>
    <w:p w14:paraId="35E08884" w14:textId="77777777" w:rsidR="000147DB" w:rsidRPr="003E7524" w:rsidRDefault="000147DB" w:rsidP="000147DB">
      <w:pPr>
        <w:spacing w:after="0" w:line="240" w:lineRule="auto"/>
        <w:jc w:val="both"/>
        <w:rPr>
          <w:rFonts w:eastAsia="Times New Roman" w:cs="Arial"/>
        </w:rPr>
      </w:pPr>
      <w:r>
        <w:t xml:space="preserve">Do celów kontroli podmioty odpowiedzialne za opakowania lub zatwierdzone organizacje mają obowiązek udostępnić zatwierdzonemu biegłemu rewidentowi wszelkie dokumenty rachunkowe i inne oraz obliczenia stanowiące podstawę wspomnianych sprawozdań.</w:t>
      </w:r>
    </w:p>
    <w:p w14:paraId="01E1F62A" w14:textId="77777777" w:rsidR="000147DB" w:rsidRPr="003E7524" w:rsidRDefault="000147DB" w:rsidP="000147DB">
      <w:pPr>
        <w:spacing w:after="0" w:line="240" w:lineRule="auto"/>
        <w:jc w:val="both"/>
        <w:rPr>
          <w:rFonts w:eastAsia="Times New Roman" w:cs="Arial"/>
        </w:rPr>
      </w:pPr>
      <w:r>
        <w:t xml:space="preserve">Koszty wynagrodzenia za kontrolę przeprowadzoną przez zatwierdzonego biegłego rewidenta ponoszą podmioty odpowiedzialne za opakowania lub zatwierdzone organizacje.</w:t>
      </w:r>
    </w:p>
    <w:p w14:paraId="54AD644D" w14:textId="77777777" w:rsidR="000147DB" w:rsidRPr="003E7524" w:rsidRDefault="000147DB" w:rsidP="000147DB">
      <w:pPr>
        <w:spacing w:after="0" w:line="240" w:lineRule="auto"/>
        <w:jc w:val="both"/>
        <w:rPr>
          <w:rFonts w:eastAsia="Times New Roman" w:cs="Arial"/>
        </w:rPr>
      </w:pPr>
      <w:r>
        <w:t xml:space="preserve">(2) Biegły rewident bezzwłocznie przekazuje wyniki przeprowadzonej kontroli Administracji Ochrony Środowiska.</w:t>
      </w:r>
    </w:p>
    <w:p w14:paraId="1AEDBCE9" w14:textId="77777777" w:rsidR="000147DB" w:rsidRPr="003E7524" w:rsidRDefault="000147DB" w:rsidP="000147DB">
      <w:pPr>
        <w:spacing w:after="0" w:line="240" w:lineRule="auto"/>
        <w:jc w:val="both"/>
        <w:rPr>
          <w:rFonts w:eastAsia="Times New Roman" w:cs="Arial"/>
          <w:b/>
          <w:bCs/>
          <w:lang w:val="fr-FR" w:eastAsia="fr-FR"/>
        </w:rPr>
      </w:pPr>
    </w:p>
    <w:p w14:paraId="2D750672" w14:textId="5CE5F3A0" w:rsidR="000147DB" w:rsidRPr="003E7524" w:rsidRDefault="000147DB" w:rsidP="00B972B3">
      <w:pPr>
        <w:keepNext/>
        <w:keepLines/>
        <w:autoSpaceDE w:val="0"/>
        <w:autoSpaceDN w:val="0"/>
        <w:adjustRightInd w:val="0"/>
        <w:spacing w:after="0" w:line="240" w:lineRule="auto"/>
        <w:jc w:val="both"/>
        <w:rPr>
          <w:color w:val="FF0000"/>
          <w:sz w:val="24"/>
          <w:szCs w:val="24"/>
          <w:u w:val="single"/>
          <w:rFonts w:eastAsia="Calibri" w:cs="TimesNewRoman"/>
        </w:rPr>
      </w:pPr>
      <w:r>
        <w:rPr>
          <w:color w:val="FF0000"/>
          <w:sz w:val="24"/>
          <w:u w:val="single"/>
        </w:rPr>
        <w:t xml:space="preserve">Artykuł 17.</w:t>
      </w:r>
      <w:r>
        <w:rPr>
          <w:color w:val="FF0000"/>
          <w:sz w:val="24"/>
          <w:u w:val="single"/>
        </w:rPr>
        <w:t xml:space="preserve"> </w:t>
      </w:r>
      <w:r>
        <w:rPr>
          <w:color w:val="FF0000"/>
          <w:sz w:val="24"/>
          <w:u w:val="single"/>
        </w:rPr>
        <w:t xml:space="preserve">Wykrywanie i stwierdzanie przypadków naruszenia przepisów</w:t>
      </w:r>
    </w:p>
    <w:p w14:paraId="7D85080C"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73929CE2"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rPr>
        <w:t xml:space="preserve">(1) Obowiązek stwierdzania przypadków naruszenia przepisów niniejszej ustawy i rozporządzeń wykonawczych spoczywa na funkcjonariuszach Policji Wielkoksiążęcej, pracownikach Administracji Ceł i Akcyzy od stopnia głównego brygadiera oraz na funkcjonariuszach i pracownikach z grup zaszeregowania A1, A2 i B1 Administracji Ochrony Środowiska.</w:t>
      </w:r>
    </w:p>
    <w:p w14:paraId="5A9972ED"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rPr>
        <w:t xml:space="preserve">W pełnieniu swojej funkcji pracownicy Administracji Ceł i Akcyzy oraz pracownicy Administracji Ochrony Środowiska występują w charakterze funkcjonariuszy policji sądowej.</w:t>
      </w:r>
      <w:r>
        <w:rPr>
          <w:color w:val="FF0000"/>
          <w:sz w:val="24"/>
        </w:rPr>
        <w:t xml:space="preserve"> </w:t>
      </w:r>
      <w:r>
        <w:rPr>
          <w:color w:val="FF0000"/>
          <w:sz w:val="24"/>
        </w:rPr>
        <w:t xml:space="preserve">Stwierdzają przypadki naruszenia w protokołach stanowiących dowody, z zastrzeżeniem dowodu przeciwnego.</w:t>
      </w:r>
    </w:p>
    <w:p w14:paraId="4BDACC6F"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rPr>
        <w:t xml:space="preserve">(2) Pracownicy, o których mowa w ust. 1, muszą odbyć specjalne szkolenie zawodowe dotyczące wykrywania i stwierdzania przypadków naruszenia przepisów.</w:t>
      </w:r>
      <w:r>
        <w:rPr>
          <w:color w:val="FF0000"/>
          <w:sz w:val="24"/>
        </w:rPr>
        <w:t xml:space="preserve"> </w:t>
      </w:r>
      <w:r>
        <w:rPr>
          <w:color w:val="FF0000"/>
          <w:sz w:val="24"/>
        </w:rPr>
        <w:t xml:space="preserve">Program i czas trwania szkolenia, a także zasady sprawdzania wiedzy określa się w drodze rozporządzenia wielkoksiążęcego.</w:t>
      </w:r>
    </w:p>
    <w:p w14:paraId="23E18C1A" w14:textId="77777777" w:rsidR="000147DB" w:rsidRPr="003E7524" w:rsidRDefault="000147DB" w:rsidP="00B972B3">
      <w:pPr>
        <w:keepNext/>
        <w:keepLines/>
        <w:autoSpaceDE w:val="0"/>
        <w:autoSpaceDN w:val="0"/>
        <w:adjustRightInd w:val="0"/>
        <w:spacing w:after="0" w:line="240" w:lineRule="auto"/>
        <w:jc w:val="both"/>
        <w:rPr>
          <w:color w:val="FF0000"/>
          <w:sz w:val="24"/>
          <w:szCs w:val="24"/>
          <w:rFonts w:eastAsia="Calibri" w:cs="TimesNewRoman"/>
        </w:rPr>
      </w:pPr>
      <w:r>
        <w:rPr>
          <w:color w:val="FF0000"/>
          <w:sz w:val="24"/>
        </w:rPr>
        <w:t xml:space="preserve">Przed objęciem funkcji pracownicy składają przed Sądem Okręgowym w Luksemburgu orzekającym w sprawach cywilnych następującą przysięgę:</w:t>
      </w:r>
    </w:p>
    <w:p w14:paraId="1EC889C1"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rPr>
        <w:t xml:space="preserve">„Przysięgam wypełniać moje obowiązki w całości, w sposób dokładny i bezstronny.</w:t>
      </w:r>
      <w:r>
        <w:rPr>
          <w:color w:val="FF0000"/>
          <w:sz w:val="24"/>
        </w:rPr>
        <w:t xml:space="preserve"> </w:t>
      </w:r>
      <w:r>
        <w:rPr>
          <w:color w:val="FF0000"/>
          <w:sz w:val="24"/>
        </w:rPr>
        <w:t xml:space="preserve">”.</w:t>
      </w:r>
    </w:p>
    <w:p w14:paraId="0E596F75"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rPr>
        <w:t xml:space="preserve">Zastosowanie ma art. 458 kodeksu karnego.</w:t>
      </w:r>
      <w:r>
        <w:rPr>
          <w:color w:val="FF0000"/>
          <w:sz w:val="24"/>
        </w:rPr>
        <w:t xml:space="preserve"> </w:t>
      </w:r>
    </w:p>
    <w:p w14:paraId="181593C7" w14:textId="77777777" w:rsidR="000147DB" w:rsidRPr="003E7524" w:rsidRDefault="000147DB" w:rsidP="000147DB">
      <w:pPr>
        <w:spacing w:after="0" w:line="240" w:lineRule="auto"/>
        <w:jc w:val="both"/>
        <w:rPr>
          <w:rFonts w:eastAsia="Times New Roman" w:cs="Arial"/>
          <w:strike/>
          <w:color w:val="FF0000"/>
          <w:lang w:val="fr-FR" w:eastAsia="fr-FR"/>
        </w:rPr>
      </w:pPr>
    </w:p>
    <w:p w14:paraId="0ED2FC95" w14:textId="77777777" w:rsidR="000147DB" w:rsidRPr="003E7524" w:rsidRDefault="000147DB" w:rsidP="000147DB">
      <w:pPr>
        <w:spacing w:after="0" w:line="240" w:lineRule="auto"/>
        <w:jc w:val="both"/>
        <w:rPr>
          <w:rFonts w:eastAsia="Times New Roman" w:cs="Arial"/>
          <w:strike/>
          <w:color w:val="FF0000"/>
          <w:lang w:val="fr-FR" w:eastAsia="fr-FR"/>
        </w:rPr>
      </w:pPr>
    </w:p>
    <w:p w14:paraId="4F3097F3" w14:textId="77777777" w:rsidR="000147DB" w:rsidRPr="003E7524" w:rsidRDefault="000147DB" w:rsidP="00B972B3">
      <w:pPr>
        <w:keepNext/>
        <w:keepLines/>
        <w:rPr>
          <w:color w:val="FF0000"/>
          <w:sz w:val="24"/>
          <w:szCs w:val="24"/>
          <w:rFonts w:ascii="Calibri" w:eastAsia="Calibri" w:hAnsi="Calibri" w:cs="Times New Roman"/>
        </w:rPr>
      </w:pPr>
      <w:r>
        <w:rPr>
          <w:color w:val="FF0000"/>
          <w:sz w:val="24"/>
          <w:u w:val="single"/>
          <w:rFonts w:ascii="Calibri" w:hAnsi="Calibri"/>
        </w:rPr>
        <w:t xml:space="preserve">Artykuł 18.</w:t>
      </w:r>
      <w:r>
        <w:rPr>
          <w:color w:val="FF0000"/>
          <w:sz w:val="24"/>
          <w:u w:val="single"/>
          <w:rFonts w:ascii="Calibri" w:hAnsi="Calibri"/>
        </w:rPr>
        <w:t xml:space="preserve"> </w:t>
      </w:r>
      <w:r>
        <w:rPr>
          <w:color w:val="FF0000"/>
          <w:sz w:val="24"/>
          <w:u w:val="single"/>
          <w:rFonts w:ascii="Calibri" w:hAnsi="Calibri"/>
        </w:rPr>
        <w:t xml:space="preserve">Uprawnienia i prerogatywy w zakresie kontroli</w:t>
      </w:r>
    </w:p>
    <w:p w14:paraId="16422B7B" w14:textId="77777777" w:rsidR="000147DB" w:rsidRPr="003E7524" w:rsidRDefault="000147DB" w:rsidP="000147DB">
      <w:pPr>
        <w:jc w:val="both"/>
        <w:rPr>
          <w:color w:val="FF0000"/>
          <w:sz w:val="24"/>
          <w:szCs w:val="24"/>
          <w:rFonts w:ascii="Calibri" w:eastAsia="Calibri" w:hAnsi="Calibri" w:cs="Times New Roman"/>
        </w:rPr>
      </w:pPr>
      <w:r>
        <w:rPr>
          <w:color w:val="FF0000"/>
          <w:sz w:val="24"/>
          <w:rFonts w:ascii="Calibri" w:hAnsi="Calibri"/>
        </w:rPr>
        <w:t xml:space="preserve">(1) Osoby, o których mowa w art. 17, mają stały dostęp, przez 24 godziny na dobę i bez konieczności wcześniejszego zgłoszenia, do instalacji, pomieszczeń, terenów, zagospodarowań i środków transportu podlegających niniejszej ustawie oraz jej rozporządzeniom wykonawczym.</w:t>
      </w:r>
      <w:r>
        <w:rPr>
          <w:color w:val="FF0000"/>
          <w:sz w:val="24"/>
          <w:rFonts w:ascii="Calibri" w:hAnsi="Calibri"/>
        </w:rPr>
        <w:t xml:space="preserve"> </w:t>
      </w:r>
    </w:p>
    <w:p w14:paraId="038ADE3C" w14:textId="4CBD0E56" w:rsidR="000147DB" w:rsidRPr="003E7524" w:rsidRDefault="000147DB" w:rsidP="000147DB">
      <w:pPr>
        <w:jc w:val="both"/>
        <w:rPr>
          <w:color w:val="FF0000"/>
          <w:sz w:val="24"/>
          <w:szCs w:val="24"/>
          <w:rFonts w:ascii="Calibri" w:eastAsia="Calibri" w:hAnsi="Calibri" w:cs="Times New Roman"/>
        </w:rPr>
      </w:pPr>
      <w:r>
        <w:rPr>
          <w:color w:val="FF0000"/>
          <w:sz w:val="24"/>
          <w:rFonts w:ascii="Calibri" w:hAnsi="Calibri"/>
        </w:rPr>
        <w:t xml:space="preserve">(2) Przepisy ust. 1 nie mają zastosowania do pomieszczeń mieszkalnych.</w:t>
      </w:r>
    </w:p>
    <w:p w14:paraId="017C6164" w14:textId="77777777" w:rsidR="000147DB" w:rsidRPr="003E7524" w:rsidRDefault="000147DB" w:rsidP="000147DB">
      <w:pPr>
        <w:jc w:val="both"/>
        <w:rPr>
          <w:color w:val="FF0000"/>
          <w:sz w:val="24"/>
          <w:szCs w:val="24"/>
          <w:rFonts w:ascii="Calibri" w:eastAsia="Calibri" w:hAnsi="Calibri" w:cs="Times New Roman"/>
        </w:rPr>
      </w:pPr>
      <w:r>
        <w:rPr>
          <w:color w:val="FF0000"/>
          <w:sz w:val="24"/>
          <w:rFonts w:ascii="Calibri" w:hAnsi="Calibri"/>
        </w:rPr>
        <w:t xml:space="preserve">Jednakże, bez uszczerbku dla art. 33 ust. 1 kodeksu postępowania karnego, w przypadku występowania poważnych przesłanek pozwalających przypuszczać, że przyczyna naruszenia znajduje się w pomieszczeniach mieszkalnych, można przeprowadzić wizytę domową od godziny szóstej trzydzieści do godziny dwudziestej czwartej. Wizytę przeprowadza funkcjonariusz policji sądowej, funkcjonariusz Policji Wielkoksiążęcej lub pracownik w rozumieniu art. 45, działający na podstawie pełnomocnictwa sędziego śledczego.</w:t>
      </w:r>
    </w:p>
    <w:p w14:paraId="1BB0F8A5" w14:textId="77777777" w:rsidR="000147DB" w:rsidRPr="003E7524" w:rsidRDefault="000147DB" w:rsidP="00B972B3">
      <w:pPr>
        <w:keepNext/>
        <w:keepLines/>
        <w:jc w:val="both"/>
        <w:rPr>
          <w:color w:val="FF0000"/>
          <w:sz w:val="24"/>
          <w:szCs w:val="24"/>
          <w:rFonts w:ascii="Calibri" w:eastAsia="Calibri" w:hAnsi="Calibri" w:cs="Times New Roman"/>
        </w:rPr>
      </w:pPr>
      <w:r>
        <w:rPr>
          <w:color w:val="FF0000"/>
          <w:sz w:val="24"/>
          <w:rFonts w:ascii="Calibri" w:hAnsi="Calibri"/>
        </w:rPr>
        <w:t xml:space="preserve">(3) Podczas wykonywania swoich uprawnień, o których mowa w ust. 1 i 2, odpowiedni pracownicy są upoważnieni:</w:t>
      </w:r>
    </w:p>
    <w:p w14:paraId="6F3F9813" w14:textId="77777777" w:rsidR="000147DB" w:rsidRPr="003E7524" w:rsidRDefault="000147DB" w:rsidP="000147DB">
      <w:pPr>
        <w:jc w:val="both"/>
        <w:rPr>
          <w:color w:val="FF0000"/>
          <w:sz w:val="24"/>
          <w:szCs w:val="24"/>
          <w:rFonts w:ascii="Calibri" w:eastAsia="Calibri" w:hAnsi="Calibri" w:cs="Times New Roman"/>
        </w:rPr>
      </w:pPr>
      <w:r>
        <w:rPr>
          <w:color w:val="FF0000"/>
          <w:sz w:val="24"/>
          <w:rFonts w:ascii="Calibri" w:hAnsi="Calibri"/>
        </w:rPr>
        <w:t xml:space="preserve">1° do otrzymywania wszelkich pism i dokumentów dotyczących opakowań i odpadów opakowaniowych, o których mowa w niniejszej ustawie;</w:t>
      </w:r>
    </w:p>
    <w:p w14:paraId="75B9F6D7" w14:textId="5E96EE24" w:rsidR="000147DB" w:rsidRPr="003E7524" w:rsidRDefault="000147DB" w:rsidP="000147DB">
      <w:pPr>
        <w:jc w:val="both"/>
        <w:rPr>
          <w:color w:val="FF0000"/>
          <w:sz w:val="24"/>
          <w:szCs w:val="24"/>
          <w:rFonts w:ascii="Calibri" w:eastAsia="Calibri" w:hAnsi="Calibri" w:cs="Times New Roman"/>
        </w:rPr>
      </w:pPr>
      <w:r>
        <w:rPr>
          <w:color w:val="FF0000"/>
          <w:sz w:val="24"/>
          <w:rFonts w:ascii="Calibri" w:hAnsi="Calibri"/>
        </w:rPr>
        <w:t xml:space="preserve">2° do pobierania lub zlecania pobrania, do celów badania lub analizy, próbek opakowań i odpadów opakowaniowych, o których mowa w niniejszej ustawie.</w:t>
      </w:r>
      <w:r>
        <w:rPr>
          <w:color w:val="FF0000"/>
          <w:sz w:val="24"/>
          <w:rFonts w:ascii="Calibri" w:hAnsi="Calibri"/>
        </w:rPr>
        <w:t xml:space="preserve"> </w:t>
      </w:r>
      <w:r>
        <w:rPr>
          <w:color w:val="FF0000"/>
          <w:sz w:val="24"/>
          <w:rFonts w:ascii="Calibri" w:hAnsi="Calibri"/>
        </w:rPr>
        <w:t xml:space="preserve">Opieczętowaną część próbki przekazuje się podmiotowi eksploatującemu instalację, zakład lub środek transportu, bądź posiadaczowi, na jego rzecz, chyba że wyraźnie odmówi jej przyjęcia lub okaże się to niemożliwe z przyczyn technicznych;</w:t>
      </w:r>
    </w:p>
    <w:p w14:paraId="7A3F87EB" w14:textId="3B7EC98F" w:rsidR="000147DB" w:rsidRPr="003E7524" w:rsidRDefault="000147DB" w:rsidP="000147DB">
      <w:pPr>
        <w:jc w:val="both"/>
        <w:rPr>
          <w:color w:val="FF0000"/>
          <w:sz w:val="24"/>
          <w:szCs w:val="24"/>
          <w:rFonts w:ascii="Calibri" w:eastAsia="Calibri" w:hAnsi="Calibri" w:cs="Times New Roman"/>
        </w:rPr>
      </w:pPr>
      <w:r>
        <w:rPr>
          <w:color w:val="FF0000"/>
          <w:sz w:val="24"/>
          <w:rFonts w:ascii="Calibri" w:hAnsi="Calibri"/>
        </w:rPr>
        <w:t xml:space="preserve">3° do przejęcia i w razie potrzeby opieczętowania opakowań i odpadów opakowaniowych, o których mowa w niniejszej ustawie, a także pism i dokumentów ich dotyczących.</w:t>
      </w:r>
    </w:p>
    <w:p w14:paraId="724E3F46" w14:textId="77777777" w:rsidR="000147DB" w:rsidRPr="003E7524" w:rsidRDefault="000147DB" w:rsidP="000147DB">
      <w:pPr>
        <w:jc w:val="both"/>
        <w:rPr>
          <w:color w:val="FF0000"/>
          <w:sz w:val="24"/>
          <w:szCs w:val="24"/>
          <w:rFonts w:ascii="Calibri" w:eastAsia="Calibri" w:hAnsi="Calibri" w:cs="Times New Roman"/>
        </w:rPr>
      </w:pPr>
      <w:r>
        <w:rPr>
          <w:color w:val="FF0000"/>
          <w:sz w:val="24"/>
          <w:rFonts w:ascii="Calibri" w:hAnsi="Calibri"/>
        </w:rPr>
        <w:t xml:space="preserve">(4) Każda osoba będąca przedmiotem środków przewidzianych w ust. 3, a także osoby, które ją zastępują, na żądanie funkcjonariuszy odpowiedzialnych za te środki mają obowiązek ułatwić operacje przez nie przeprowadzane.</w:t>
      </w:r>
    </w:p>
    <w:p w14:paraId="3EDE58D7" w14:textId="77777777" w:rsidR="000147DB" w:rsidRPr="003E7524" w:rsidRDefault="000147DB" w:rsidP="000147DB">
      <w:pPr>
        <w:jc w:val="both"/>
        <w:rPr>
          <w:color w:val="FF0000"/>
          <w:sz w:val="24"/>
          <w:szCs w:val="24"/>
          <w:rFonts w:ascii="Calibri" w:eastAsia="Calibri" w:hAnsi="Calibri" w:cs="Times New Roman"/>
        </w:rPr>
      </w:pPr>
      <w:r>
        <w:rPr>
          <w:color w:val="FF0000"/>
          <w:sz w:val="24"/>
          <w:rFonts w:ascii="Calibri" w:hAnsi="Calibri"/>
        </w:rPr>
        <w:t xml:space="preserve">Osoby, o których mowa w poprzednim akapicie, mogą uczestniczyć w przedmiotowych operacjach.</w:t>
      </w:r>
    </w:p>
    <w:p w14:paraId="7303060C" w14:textId="77777777" w:rsidR="000147DB" w:rsidRPr="003E7524" w:rsidRDefault="000147DB" w:rsidP="000147DB">
      <w:pPr>
        <w:jc w:val="both"/>
        <w:rPr>
          <w:color w:val="FF0000"/>
          <w:sz w:val="24"/>
          <w:szCs w:val="24"/>
          <w:rFonts w:ascii="Calibri" w:eastAsia="Calibri" w:hAnsi="Calibri" w:cs="Times New Roman"/>
        </w:rPr>
      </w:pPr>
      <w:r>
        <w:rPr>
          <w:color w:val="FF0000"/>
          <w:sz w:val="24"/>
          <w:rFonts w:ascii="Calibri" w:hAnsi="Calibri"/>
        </w:rPr>
        <w:t xml:space="preserve">(5) Po przeprowadzeniu operacji sporządza się protokół ustaleń.</w:t>
      </w:r>
    </w:p>
    <w:p w14:paraId="560BE14F" w14:textId="77777777" w:rsidR="000147DB" w:rsidRPr="003E7524" w:rsidRDefault="000147DB" w:rsidP="000147DB">
      <w:pPr>
        <w:jc w:val="both"/>
        <w:rPr>
          <w:color w:val="FF0000"/>
          <w:sz w:val="24"/>
          <w:szCs w:val="24"/>
          <w:rFonts w:ascii="Calibri" w:eastAsia="Calibri" w:hAnsi="Calibri" w:cs="Times New Roman"/>
        </w:rPr>
      </w:pPr>
      <w:r>
        <w:rPr>
          <w:color w:val="FF0000"/>
          <w:sz w:val="24"/>
          <w:rFonts w:ascii="Calibri" w:hAnsi="Calibri"/>
        </w:rPr>
        <w:t xml:space="preserve">(6) Koszty poniesione w następstwie środków podjętych na podstawie niniejszego artykułu zostają uwzględnione w kosztach sądowych, z którymi są powiązane.</w:t>
      </w:r>
      <w:r>
        <w:rPr>
          <w:color w:val="FF0000"/>
          <w:sz w:val="24"/>
          <w:rFonts w:ascii="Calibri" w:hAnsi="Calibri"/>
        </w:rPr>
        <w:t xml:space="preserve"> </w:t>
      </w:r>
    </w:p>
    <w:p w14:paraId="20CF83B8" w14:textId="77777777" w:rsidR="000147DB" w:rsidRPr="003E7524" w:rsidRDefault="000147DB" w:rsidP="000147DB">
      <w:pPr>
        <w:spacing w:after="0" w:line="240" w:lineRule="auto"/>
        <w:jc w:val="both"/>
        <w:rPr>
          <w:rFonts w:eastAsia="Times New Roman" w:cs="Arial"/>
          <w:strike/>
          <w:color w:val="FF0000"/>
          <w:lang w:val="fr-FR" w:eastAsia="fr-FR"/>
        </w:rPr>
      </w:pPr>
    </w:p>
    <w:p w14:paraId="53FCF286" w14:textId="77777777" w:rsidR="000147DB" w:rsidRPr="003E7524" w:rsidRDefault="000147DB" w:rsidP="000147DB">
      <w:pPr>
        <w:spacing w:after="0" w:line="240" w:lineRule="auto"/>
        <w:jc w:val="center"/>
        <w:rPr>
          <w:rFonts w:eastAsia="Calibri" w:cs="Arial"/>
          <w:lang w:val="fr-FR"/>
        </w:rPr>
      </w:pPr>
    </w:p>
    <w:p w14:paraId="29F0DFDD" w14:textId="77777777" w:rsidR="000147DB" w:rsidRPr="003E7524" w:rsidRDefault="000147DB" w:rsidP="00B972B3">
      <w:pPr>
        <w:keepNext/>
        <w:keepLines/>
        <w:autoSpaceDE w:val="0"/>
        <w:autoSpaceDN w:val="0"/>
        <w:adjustRightInd w:val="0"/>
        <w:spacing w:after="0" w:line="240" w:lineRule="auto"/>
        <w:jc w:val="both"/>
        <w:rPr>
          <w:color w:val="FF0000"/>
          <w:sz w:val="24"/>
          <w:szCs w:val="24"/>
          <w:u w:val="single"/>
          <w:rFonts w:eastAsia="Calibri" w:cs="TimesNewRoman"/>
        </w:rPr>
      </w:pPr>
      <w:r>
        <w:rPr>
          <w:color w:val="FF0000"/>
          <w:sz w:val="24"/>
          <w:u w:val="single"/>
        </w:rPr>
        <w:t xml:space="preserve">Artykuł 19.</w:t>
      </w:r>
      <w:r>
        <w:rPr>
          <w:color w:val="FF0000"/>
          <w:sz w:val="24"/>
          <w:u w:val="single"/>
        </w:rPr>
        <w:t xml:space="preserve"> </w:t>
      </w:r>
      <w:r>
        <w:rPr>
          <w:color w:val="FF0000"/>
          <w:sz w:val="24"/>
          <w:u w:val="single"/>
        </w:rPr>
        <w:t xml:space="preserve">Kary</w:t>
      </w:r>
    </w:p>
    <w:p w14:paraId="18C8EB51"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6EF84795"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rPr>
        <w:t xml:space="preserve">Przypadki naruszenia przepisów art. 6 ust. 1, art. 7, ust. 1 akapit pierwszy i ust. 3, art. 8 ust. 1 akapit drugi, art. 8 ust. 2, art. 8 ust. 4, art. 9 i art. 11 ust. 1 podlegają karze pozbawienia wolności w wymiarze od ośmiu dni do trzech lat i karze grzywny w wysokości od 251 EUR do 750 tys. EUR.</w:t>
      </w:r>
    </w:p>
    <w:p w14:paraId="45DF1212"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lang w:val="fr-LU" w:eastAsia="fr-BE"/>
        </w:rPr>
      </w:pPr>
    </w:p>
    <w:p w14:paraId="19C50898"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rPr>
        <w:t xml:space="preserve">Te same kary stosuje się w przypadku naruszenia lub nieprzestrzegania środków administracyjnych nałożonych na mocy art. 21.</w:t>
      </w:r>
    </w:p>
    <w:p w14:paraId="36E770B5" w14:textId="77777777" w:rsidR="000147DB" w:rsidRPr="003E7524" w:rsidRDefault="000147DB" w:rsidP="000147DB">
      <w:pPr>
        <w:spacing w:after="0" w:line="240" w:lineRule="auto"/>
        <w:rPr>
          <w:rFonts w:eastAsia="Calibri" w:cs="Arial"/>
          <w:lang w:val="fr-LU"/>
        </w:rPr>
      </w:pPr>
    </w:p>
    <w:p w14:paraId="67DBA026" w14:textId="77777777" w:rsidR="000147DB" w:rsidRPr="003E7524" w:rsidRDefault="000147DB" w:rsidP="000147DB">
      <w:pPr>
        <w:spacing w:after="0" w:line="240" w:lineRule="auto"/>
        <w:jc w:val="both"/>
        <w:rPr>
          <w:rFonts w:eastAsia="Calibri" w:cs="Arial"/>
          <w:color w:val="FF0000"/>
          <w:lang w:val="fr-FR"/>
        </w:rPr>
      </w:pPr>
    </w:p>
    <w:p w14:paraId="6F9BCE2F" w14:textId="77777777" w:rsidR="000147DB" w:rsidRPr="003E7524" w:rsidRDefault="000147DB" w:rsidP="000147DB">
      <w:pPr>
        <w:spacing w:after="0" w:line="240" w:lineRule="auto"/>
        <w:jc w:val="both"/>
        <w:rPr>
          <w:rFonts w:eastAsia="Times New Roman" w:cs="Arial"/>
          <w:b/>
          <w:u w:val="single"/>
          <w:lang w:val="fr-FR" w:eastAsia="fr-FR"/>
        </w:rPr>
      </w:pPr>
    </w:p>
    <w:p w14:paraId="4741CEFE" w14:textId="77777777" w:rsidR="000147DB" w:rsidRPr="003E7524" w:rsidRDefault="000147DB" w:rsidP="00B972B3">
      <w:pPr>
        <w:keepNext/>
        <w:keepLines/>
        <w:autoSpaceDE w:val="0"/>
        <w:autoSpaceDN w:val="0"/>
        <w:adjustRightInd w:val="0"/>
        <w:spacing w:after="0" w:line="240" w:lineRule="auto"/>
        <w:jc w:val="both"/>
        <w:rPr>
          <w:color w:val="FF0000"/>
          <w:sz w:val="24"/>
          <w:szCs w:val="24"/>
          <w:rFonts w:eastAsia="Calibri" w:cs="TimesNewRoman"/>
        </w:rPr>
      </w:pPr>
      <w:r>
        <w:rPr>
          <w:color w:val="FF0000"/>
          <w:sz w:val="24"/>
          <w:u w:val="single"/>
        </w:rPr>
        <w:t xml:space="preserve">Artykuł 20.</w:t>
      </w:r>
      <w:r>
        <w:rPr>
          <w:color w:val="FF0000"/>
          <w:sz w:val="24"/>
          <w:u w:val="single"/>
        </w:rPr>
        <w:t xml:space="preserve"> </w:t>
      </w:r>
      <w:r>
        <w:rPr>
          <w:color w:val="FF0000"/>
          <w:sz w:val="24"/>
          <w:u w:val="single"/>
        </w:rPr>
        <w:t xml:space="preserve">Administracyjne kary pieniężne</w:t>
      </w:r>
    </w:p>
    <w:p w14:paraId="42AED218"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47BECB2B" w14:textId="77777777" w:rsidR="000147DB" w:rsidRPr="003E7524" w:rsidRDefault="000147DB" w:rsidP="000147DB">
      <w:pPr>
        <w:autoSpaceDE w:val="0"/>
        <w:autoSpaceDN w:val="0"/>
        <w:adjustRightInd w:val="0"/>
        <w:spacing w:after="0"/>
        <w:jc w:val="both"/>
        <w:rPr>
          <w:color w:val="FF0000"/>
          <w:sz w:val="24"/>
          <w:szCs w:val="24"/>
          <w:rFonts w:cs="TimesNewRoman"/>
        </w:rPr>
      </w:pPr>
      <w:r>
        <w:rPr>
          <w:color w:val="FF0000"/>
          <w:sz w:val="24"/>
        </w:rPr>
        <w:t xml:space="preserve">Minister może nałożyć administracyjną karę pieniężną w wysokości od 50 EUR do 10 tys. EUR w przypadku naruszenia art. 5 ust. 1 i 2, art. 7 ust. 2 lit. a) akapit trzeci, art. 8 ust. 3 akapit trzeci, art. 12 ust. 2, art. 14 ust. 1 i 2, art. 15 lub art. 16 ust. 2.</w:t>
      </w:r>
    </w:p>
    <w:p w14:paraId="7D851266" w14:textId="77777777" w:rsidR="000147DB" w:rsidRPr="003E7524" w:rsidRDefault="000147DB" w:rsidP="000147DB">
      <w:pPr>
        <w:autoSpaceDE w:val="0"/>
        <w:autoSpaceDN w:val="0"/>
        <w:adjustRightInd w:val="0"/>
        <w:spacing w:after="0"/>
        <w:jc w:val="both"/>
        <w:rPr>
          <w:rFonts w:cs="TimesNewRoman"/>
          <w:color w:val="FF0000"/>
          <w:sz w:val="24"/>
          <w:szCs w:val="24"/>
          <w:lang w:val="fr-LU" w:eastAsia="fr-BE"/>
        </w:rPr>
      </w:pPr>
    </w:p>
    <w:p w14:paraId="751FD4D4" w14:textId="1B51823B" w:rsidR="000147DB" w:rsidRPr="003E7524" w:rsidRDefault="000147DB" w:rsidP="000147DB">
      <w:pPr>
        <w:autoSpaceDE w:val="0"/>
        <w:autoSpaceDN w:val="0"/>
        <w:adjustRightInd w:val="0"/>
        <w:spacing w:after="0"/>
        <w:jc w:val="both"/>
        <w:rPr>
          <w:color w:val="FF0000"/>
          <w:sz w:val="24"/>
          <w:szCs w:val="24"/>
          <w:rFonts w:cs="TimesNewRoman"/>
        </w:rPr>
      </w:pPr>
      <w:r>
        <w:rPr>
          <w:color w:val="FF0000"/>
          <w:sz w:val="24"/>
        </w:rPr>
        <w:t xml:space="preserve">Kary należy zapłacić w terminie dwóch miesięcy od pisemnego powiadomienia o decyzji.</w:t>
      </w:r>
    </w:p>
    <w:p w14:paraId="6134B9EE" w14:textId="77777777" w:rsidR="000147DB" w:rsidRPr="003E7524" w:rsidRDefault="000147DB" w:rsidP="000147DB">
      <w:pPr>
        <w:autoSpaceDE w:val="0"/>
        <w:autoSpaceDN w:val="0"/>
        <w:adjustRightInd w:val="0"/>
        <w:spacing w:after="0"/>
        <w:jc w:val="both"/>
        <w:rPr>
          <w:rFonts w:cs="TimesNewRoman"/>
          <w:color w:val="FF0000"/>
          <w:sz w:val="24"/>
          <w:szCs w:val="24"/>
          <w:lang w:val="fr-LU" w:eastAsia="fr-BE"/>
        </w:rPr>
      </w:pPr>
    </w:p>
    <w:p w14:paraId="3ECDD579" w14:textId="77777777" w:rsidR="000147DB" w:rsidRPr="003E7524" w:rsidRDefault="000147DB" w:rsidP="000147DB">
      <w:pPr>
        <w:autoSpaceDE w:val="0"/>
        <w:autoSpaceDN w:val="0"/>
        <w:adjustRightInd w:val="0"/>
        <w:spacing w:after="0"/>
        <w:jc w:val="both"/>
        <w:rPr>
          <w:color w:val="FF0000"/>
          <w:sz w:val="24"/>
          <w:szCs w:val="24"/>
          <w:rFonts w:cs="TimesNewRoman"/>
        </w:rPr>
      </w:pPr>
      <w:r>
        <w:rPr>
          <w:color w:val="FF0000"/>
          <w:sz w:val="24"/>
        </w:rPr>
        <w:t xml:space="preserve">Kary administracyjne pobiera Administracja ds. opłat rejestracyjnych, nieruchomości gruntowych i VAT.</w:t>
      </w:r>
      <w:r>
        <w:rPr>
          <w:color w:val="FF0000"/>
          <w:sz w:val="24"/>
        </w:rPr>
        <w:t xml:space="preserve"> </w:t>
      </w:r>
      <w:r>
        <w:rPr>
          <w:color w:val="FF0000"/>
          <w:sz w:val="24"/>
        </w:rPr>
        <w:t xml:space="preserve">Kary są pobierane z tytułu opłat rejestracyjnych.</w:t>
      </w:r>
    </w:p>
    <w:p w14:paraId="79836004" w14:textId="77777777" w:rsidR="000147DB" w:rsidRPr="003E7524" w:rsidRDefault="000147DB" w:rsidP="000147DB">
      <w:pPr>
        <w:spacing w:after="0" w:line="240" w:lineRule="auto"/>
        <w:jc w:val="both"/>
        <w:rPr>
          <w:rFonts w:eastAsia="Times New Roman" w:cs="Arial"/>
          <w:b/>
          <w:color w:val="FF0000"/>
          <w:u w:val="single"/>
          <w:lang w:val="fr-LU" w:eastAsia="fr-FR"/>
        </w:rPr>
      </w:pPr>
    </w:p>
    <w:p w14:paraId="40076A38" w14:textId="77777777" w:rsidR="000147DB" w:rsidRPr="003E7524" w:rsidRDefault="000147DB" w:rsidP="000147DB">
      <w:pPr>
        <w:spacing w:after="0" w:line="240" w:lineRule="auto"/>
        <w:jc w:val="both"/>
        <w:rPr>
          <w:rFonts w:eastAsia="Times New Roman" w:cs="Arial"/>
          <w:b/>
          <w:u w:val="single"/>
          <w:lang w:val="fr-FR" w:eastAsia="fr-FR"/>
        </w:rPr>
      </w:pPr>
    </w:p>
    <w:p w14:paraId="7782CE6B" w14:textId="77777777" w:rsidR="000147DB" w:rsidRPr="003E7524" w:rsidRDefault="000147DB" w:rsidP="000147DB">
      <w:pPr>
        <w:spacing w:after="0" w:line="240" w:lineRule="auto"/>
        <w:jc w:val="both"/>
        <w:rPr>
          <w:rFonts w:eastAsia="Times New Roman" w:cs="Arial"/>
          <w:b/>
          <w:u w:val="single"/>
          <w:lang w:val="fr-FR" w:eastAsia="fr-FR"/>
        </w:rPr>
      </w:pPr>
    </w:p>
    <w:p w14:paraId="7035C42C" w14:textId="77777777" w:rsidR="000147DB" w:rsidRPr="003E7524" w:rsidRDefault="000147DB" w:rsidP="000147DB">
      <w:pPr>
        <w:spacing w:after="0" w:line="240" w:lineRule="auto"/>
        <w:jc w:val="both"/>
        <w:rPr>
          <w:rFonts w:eastAsia="Times New Roman" w:cs="Arial"/>
          <w:b/>
          <w:u w:val="single"/>
          <w:lang w:val="fr-FR" w:eastAsia="fr-FR"/>
        </w:rPr>
      </w:pPr>
    </w:p>
    <w:p w14:paraId="59B3BC00" w14:textId="77777777" w:rsidR="000147DB" w:rsidRPr="003E7524" w:rsidRDefault="000147DB" w:rsidP="00B972B3">
      <w:pPr>
        <w:keepNext/>
        <w:keepLines/>
        <w:spacing w:after="0" w:line="240" w:lineRule="auto"/>
        <w:jc w:val="both"/>
        <w:rPr>
          <w:b/>
          <w:bCs/>
          <w:iCs/>
          <w:rFonts w:eastAsia="Times New Roman" w:cs="Arial"/>
        </w:rPr>
      </w:pPr>
      <w:r>
        <w:rPr>
          <w:b/>
        </w:rPr>
        <w:t xml:space="preserve">Artykuł 21.</w:t>
      </w:r>
      <w:r>
        <w:rPr>
          <w:b/>
        </w:rPr>
        <w:t xml:space="preserve"> </w:t>
      </w:r>
      <w:r>
        <w:rPr>
          <w:b/>
        </w:rPr>
        <w:t xml:space="preserve">Środki administracyjne</w:t>
      </w:r>
    </w:p>
    <w:p w14:paraId="5F403B1E" w14:textId="77777777" w:rsidR="000147DB" w:rsidRPr="003E7524" w:rsidRDefault="000147DB" w:rsidP="00B972B3">
      <w:pPr>
        <w:keepNext/>
        <w:keepLines/>
        <w:spacing w:after="0" w:line="240" w:lineRule="auto"/>
        <w:jc w:val="both"/>
        <w:rPr>
          <w:rFonts w:eastAsia="Times New Roman" w:cs="Arial"/>
          <w:b/>
          <w:bCs/>
          <w:iCs/>
          <w:lang w:val="fr-FR" w:eastAsia="fr-FR"/>
        </w:rPr>
      </w:pPr>
    </w:p>
    <w:p w14:paraId="3E28D60D" w14:textId="20FDE3DB" w:rsidR="000147DB" w:rsidRPr="003E7524" w:rsidRDefault="000147DB" w:rsidP="00B972B3">
      <w:pPr>
        <w:keepNext/>
        <w:keepLines/>
        <w:spacing w:after="0" w:line="240" w:lineRule="auto"/>
        <w:jc w:val="both"/>
        <w:rPr>
          <w:rFonts w:eastAsia="Times New Roman" w:cs="Arial"/>
        </w:rPr>
      </w:pPr>
      <w:r>
        <w:t xml:space="preserve">(1) W przypadku braku stosowania przepisów podlegających karom, o których mowa w art. 19 niniejszej ustawy, minister może:</w:t>
      </w:r>
    </w:p>
    <w:p w14:paraId="3FA876A2" w14:textId="77777777" w:rsidR="000147DB" w:rsidRPr="00B972B3" w:rsidRDefault="000147DB" w:rsidP="000147DB">
      <w:pPr>
        <w:spacing w:after="0" w:line="240" w:lineRule="auto"/>
        <w:jc w:val="both"/>
        <w:rPr>
          <w:spacing w:val="-4"/>
          <w:rFonts w:eastAsia="Times New Roman" w:cs="Arial"/>
        </w:rPr>
      </w:pPr>
      <w:r>
        <w:t xml:space="preserve">wyznaczyć podmiotowi odpowiedzialnemu za opakowania, zatwierdzonej organizacji lub innej zainteresowanej osobie termin na zastosowanie się do tych przepisów, który nie może przekraczać dwóch lat;</w:t>
      </w:r>
    </w:p>
    <w:p w14:paraId="3CDBEA63" w14:textId="11412CF2" w:rsidR="000147DB" w:rsidRPr="003E7524" w:rsidRDefault="000147DB" w:rsidP="000147DB">
      <w:pPr>
        <w:autoSpaceDE w:val="0"/>
        <w:autoSpaceDN w:val="0"/>
        <w:adjustRightInd w:val="0"/>
        <w:spacing w:after="0" w:line="276" w:lineRule="auto"/>
        <w:jc w:val="both"/>
        <w:rPr>
          <w:color w:val="FF0000"/>
          <w:sz w:val="24"/>
          <w:szCs w:val="24"/>
          <w:rFonts w:cs="TimesNewRoman"/>
        </w:rPr>
      </w:pPr>
      <w:r>
        <w:rPr>
          <w:color w:val="FF0000"/>
          <w:sz w:val="24"/>
        </w:rPr>
        <w:t xml:space="preserve">2) zlecić zawieszenie, częściowo lub w całości, działalności podmiotu odpowiedzialnego za opakowania lub zatwierdzonej organizacji i eksploatowanie instalacji lub zlecić zamknięcie instalacji, częściowo lub w całości, i jej opieczętowanie, lub też nałożyć zakaz wprowadzania do obrotu lub nakaz wycofania z obrotu opakowań i odpadów opakowaniowych, o których mowa w niniejszej ustawie.</w:t>
      </w:r>
      <w:r>
        <w:rPr>
          <w:color w:val="FF0000"/>
          <w:sz w:val="24"/>
        </w:rPr>
        <w:t xml:space="preserve"> </w:t>
      </w:r>
    </w:p>
    <w:p w14:paraId="5BBBA105" w14:textId="77777777" w:rsidR="000147DB" w:rsidRPr="003E7524" w:rsidRDefault="000147DB" w:rsidP="000147DB">
      <w:pPr>
        <w:spacing w:after="0" w:line="240" w:lineRule="auto"/>
        <w:jc w:val="both"/>
        <w:rPr>
          <w:rFonts w:eastAsia="Times New Roman" w:cs="Arial"/>
          <w:lang w:val="fr-LU" w:eastAsia="fr-FR"/>
        </w:rPr>
      </w:pPr>
    </w:p>
    <w:p w14:paraId="481D1A7A" w14:textId="77777777" w:rsidR="000147DB" w:rsidRPr="003E7524" w:rsidRDefault="000147DB" w:rsidP="000147DB">
      <w:pPr>
        <w:spacing w:after="0" w:line="240" w:lineRule="auto"/>
        <w:jc w:val="both"/>
        <w:rPr>
          <w:rFonts w:eastAsia="Times New Roman" w:cs="Arial"/>
          <w:lang w:val="fr-FR" w:eastAsia="fr-FR"/>
        </w:rPr>
      </w:pPr>
    </w:p>
    <w:p w14:paraId="1F8D961C" w14:textId="77777777" w:rsidR="000147DB" w:rsidRPr="003E7524" w:rsidRDefault="000147DB" w:rsidP="000147DB">
      <w:pPr>
        <w:spacing w:after="0" w:line="240" w:lineRule="auto"/>
        <w:jc w:val="both"/>
        <w:rPr>
          <w:rFonts w:eastAsia="Times New Roman" w:cs="Arial"/>
        </w:rPr>
      </w:pPr>
      <w:r>
        <w:t xml:space="preserve">(2) Każda zainteresowana osoba może zwrócić się z wnioskiem o stosowanie środków, o których mowa w ust. 1.</w:t>
      </w:r>
    </w:p>
    <w:p w14:paraId="15C47735" w14:textId="77777777" w:rsidR="000147DB" w:rsidRPr="003E7524" w:rsidRDefault="000147DB" w:rsidP="000147DB">
      <w:pPr>
        <w:spacing w:after="0" w:line="240" w:lineRule="auto"/>
        <w:jc w:val="both"/>
        <w:rPr>
          <w:rFonts w:eastAsia="Times New Roman" w:cs="Arial"/>
        </w:rPr>
      </w:pPr>
      <w:r>
        <w:t xml:space="preserve">(3) Środki wymienione w ust. 1 zostają zniesione, jeżeli podmiot odpowiedzialny za opakowania, zatwierdzona organizacja lub inna zainteresowana osoba dostosują się do przepisów.</w:t>
      </w:r>
    </w:p>
    <w:p w14:paraId="2D1DE739" w14:textId="77777777" w:rsidR="000147DB" w:rsidRPr="003E7524" w:rsidRDefault="000147DB" w:rsidP="000147DB">
      <w:pPr>
        <w:spacing w:after="0" w:line="240" w:lineRule="auto"/>
        <w:jc w:val="both"/>
        <w:rPr>
          <w:rFonts w:eastAsia="Times New Roman" w:cs="Arial"/>
          <w:b/>
          <w:bCs/>
          <w:lang w:val="fr-FR" w:eastAsia="fr-FR"/>
        </w:rPr>
      </w:pPr>
    </w:p>
    <w:p w14:paraId="6F3C4DAC" w14:textId="77777777" w:rsidR="000147DB" w:rsidRPr="003E7524" w:rsidRDefault="000147DB" w:rsidP="00B972B3">
      <w:pPr>
        <w:keepNext/>
        <w:keepLines/>
        <w:spacing w:after="0" w:line="240" w:lineRule="auto"/>
        <w:jc w:val="both"/>
        <w:rPr>
          <w:rFonts w:eastAsia="Times New Roman" w:cs="Arial"/>
        </w:rPr>
      </w:pPr>
      <w:r>
        <w:rPr>
          <w:b/>
        </w:rPr>
        <w:t xml:space="preserve">Artykuł 22.</w:t>
      </w:r>
      <w:r>
        <w:rPr>
          <w:b/>
        </w:rPr>
        <w:t xml:space="preserve"> </w:t>
      </w:r>
      <w:r>
        <w:rPr>
          <w:b/>
        </w:rPr>
        <w:t xml:space="preserve">Środki odwoławcze</w:t>
      </w:r>
    </w:p>
    <w:p w14:paraId="777CA2C3" w14:textId="77777777" w:rsidR="000147DB" w:rsidRPr="003E7524" w:rsidRDefault="000147DB" w:rsidP="000147DB">
      <w:pPr>
        <w:spacing w:after="0" w:line="240" w:lineRule="auto"/>
        <w:jc w:val="both"/>
        <w:rPr>
          <w:rFonts w:eastAsia="Times New Roman" w:cs="Arial"/>
        </w:rPr>
      </w:pPr>
      <w:r>
        <w:t xml:space="preserve">Od decyzji podjętych na mocy niniejszej ustawy przysługuje odwołanie do Sądu Administracyjnego.</w:t>
      </w:r>
      <w:r>
        <w:t xml:space="preserve"> </w:t>
      </w:r>
      <w:r>
        <w:t xml:space="preserve">Odwołanie można wnieść pod rygorem wygaśnięcia w terminie czterdziestu dni od powiadomienia o decyzji.</w:t>
      </w:r>
      <w:r>
        <w:t xml:space="preserve"> </w:t>
      </w:r>
      <w:r>
        <w:t xml:space="preserve">Odwołanie mogą również składać stowarzyszenia i organizacje, o których mowa w art. 23.</w:t>
      </w:r>
    </w:p>
    <w:p w14:paraId="037D069C" w14:textId="77777777" w:rsidR="000147DB" w:rsidRPr="003E7524" w:rsidRDefault="000147DB" w:rsidP="000147DB">
      <w:pPr>
        <w:spacing w:after="0" w:line="240" w:lineRule="auto"/>
        <w:jc w:val="both"/>
        <w:rPr>
          <w:rFonts w:eastAsia="Times New Roman" w:cs="Arial"/>
          <w:lang w:val="fr-FR" w:eastAsia="fr-FR"/>
        </w:rPr>
      </w:pPr>
    </w:p>
    <w:p w14:paraId="6E733435" w14:textId="77777777" w:rsidR="000147DB" w:rsidRPr="003E7524" w:rsidRDefault="000147DB" w:rsidP="00B972B3">
      <w:pPr>
        <w:keepNext/>
        <w:keepLines/>
        <w:spacing w:after="0" w:line="240" w:lineRule="auto"/>
        <w:jc w:val="both"/>
        <w:rPr>
          <w:color w:val="000000"/>
          <w:rFonts w:eastAsia="Times New Roman" w:cs="Arial"/>
        </w:rPr>
      </w:pPr>
      <w:r>
        <w:rPr>
          <w:b/>
          <w:color w:val="000000"/>
        </w:rPr>
        <w:t xml:space="preserve">Artykuł 23.</w:t>
      </w:r>
      <w:r>
        <w:rPr>
          <w:b/>
          <w:color w:val="000000"/>
        </w:rPr>
        <w:t xml:space="preserve"> </w:t>
      </w:r>
      <w:r>
        <w:rPr>
          <w:b/>
          <w:color w:val="000000"/>
        </w:rPr>
        <w:t xml:space="preserve">Prawo do wszczęcia postępowania sądowego przez zatwierdzone stowarzyszenia ekologiczne</w:t>
      </w:r>
    </w:p>
    <w:p w14:paraId="54A6D588" w14:textId="7234A958" w:rsidR="000147DB" w:rsidRPr="003E7524" w:rsidRDefault="000147DB" w:rsidP="000147DB">
      <w:pPr>
        <w:spacing w:after="0" w:line="240" w:lineRule="auto"/>
        <w:jc w:val="both"/>
        <w:rPr>
          <w:color w:val="000000"/>
          <w:rFonts w:eastAsia="Times New Roman" w:cs="Arial"/>
        </w:rPr>
      </w:pPr>
      <w:r>
        <w:rPr>
          <w:color w:val="000000"/>
        </w:rPr>
        <w:t xml:space="preserve">Stowarzyszenia i organizacje zatwierdzone na mocy ustawy z dnia 21 marca 2012 r. mogą korzystać z uznanych praw strony cywilnej w przypadku okoliczności faktycznych stanowiących naruszenie w rozumieniu niniejszej ustawy i uszczerbek bezpośredni lub pośredni dla interesów zbiorowych, których te stowarzyszenia i organizacje mają bronić, nawet jeżeli nie uzasadnią interesu materialnego, a interes zbiorowy, na podstawie którego działają, nie pokrywa się w całości z interesem społecznym, którego obronę gwarantuje Prokuratura.</w:t>
      </w:r>
      <w:r>
        <w:rPr>
          <w:color w:val="000000"/>
        </w:rPr>
        <w:t xml:space="preserve"> </w:t>
      </w:r>
      <w:r>
        <w:rPr>
          <w:color w:val="000000"/>
        </w:rPr>
        <w:t xml:space="preserve">Prawo to dotyczy również stowarzyszeń i organizacji prawa obcego posiadających osobowość prawną, które prowadzą działalność statutową w dziedzinie ochrony środowiska.</w:t>
      </w:r>
    </w:p>
    <w:p w14:paraId="1F5A9B0C" w14:textId="77777777" w:rsidR="000147DB" w:rsidRPr="003E7524" w:rsidRDefault="000147DB" w:rsidP="000147DB">
      <w:pPr>
        <w:spacing w:after="0" w:line="240" w:lineRule="auto"/>
        <w:jc w:val="both"/>
        <w:rPr>
          <w:rFonts w:eastAsia="Times New Roman" w:cs="Arial"/>
          <w:lang w:val="fr-FR" w:eastAsia="fr-FR"/>
        </w:rPr>
      </w:pPr>
    </w:p>
    <w:p w14:paraId="71FAF0A0" w14:textId="77777777" w:rsidR="000147DB" w:rsidRPr="003E7524" w:rsidRDefault="000147DB" w:rsidP="000147DB">
      <w:pPr>
        <w:spacing w:after="0" w:line="240" w:lineRule="auto"/>
        <w:jc w:val="both"/>
        <w:rPr>
          <w:rFonts w:eastAsia="Times New Roman" w:cs="Arial"/>
          <w:lang w:val="fr-FR" w:eastAsia="fr-FR"/>
        </w:rPr>
      </w:pPr>
    </w:p>
    <w:p w14:paraId="42EE1F17" w14:textId="77777777" w:rsidR="000147DB" w:rsidRPr="003E7524" w:rsidRDefault="00747C65" w:rsidP="00B972B3">
      <w:pPr>
        <w:keepNext/>
        <w:keepLines/>
        <w:autoSpaceDE w:val="0"/>
        <w:autoSpaceDN w:val="0"/>
        <w:adjustRightInd w:val="0"/>
        <w:spacing w:after="0" w:line="240" w:lineRule="auto"/>
        <w:jc w:val="both"/>
        <w:rPr>
          <w:color w:val="FF0000"/>
          <w:sz w:val="24"/>
          <w:szCs w:val="24"/>
          <w:u w:val="single"/>
          <w:rFonts w:cs="TimesNewRoman"/>
        </w:rPr>
      </w:pPr>
      <w:r>
        <w:rPr>
          <w:color w:val="FF0000"/>
          <w:sz w:val="24"/>
          <w:u w:val="single"/>
        </w:rPr>
        <w:t xml:space="preserve">Artykuł 24.</w:t>
      </w:r>
      <w:r>
        <w:rPr>
          <w:color w:val="FF0000"/>
          <w:sz w:val="24"/>
          <w:u w:val="single"/>
        </w:rPr>
        <w:t xml:space="preserve"> </w:t>
      </w:r>
      <w:r>
        <w:rPr>
          <w:color w:val="FF0000"/>
          <w:sz w:val="24"/>
          <w:u w:val="single"/>
        </w:rPr>
        <w:t xml:space="preserve">Załączniki</w:t>
      </w:r>
      <w:r>
        <w:rPr>
          <w:color w:val="FF0000"/>
          <w:sz w:val="24"/>
          <w:u w:val="single"/>
        </w:rPr>
        <w:t xml:space="preserve"> </w:t>
      </w:r>
    </w:p>
    <w:p w14:paraId="442B7DA9" w14:textId="77777777" w:rsidR="000147DB" w:rsidRPr="003E7524" w:rsidRDefault="000147DB" w:rsidP="00B972B3">
      <w:pPr>
        <w:keepNext/>
        <w:keepLines/>
        <w:autoSpaceDE w:val="0"/>
        <w:autoSpaceDN w:val="0"/>
        <w:adjustRightInd w:val="0"/>
        <w:spacing w:after="0" w:line="240" w:lineRule="auto"/>
        <w:jc w:val="both"/>
        <w:rPr>
          <w:rFonts w:cs="TimesNewRoman"/>
          <w:color w:val="FF0000"/>
          <w:sz w:val="24"/>
          <w:szCs w:val="24"/>
          <w:u w:val="single"/>
          <w:lang w:val="fr-LU" w:eastAsia="fr-BE"/>
        </w:rPr>
      </w:pPr>
    </w:p>
    <w:p w14:paraId="5380A119" w14:textId="5396EE1C" w:rsidR="000147DB" w:rsidRPr="003E7524" w:rsidRDefault="000147DB" w:rsidP="000147DB">
      <w:pPr>
        <w:autoSpaceDE w:val="0"/>
        <w:autoSpaceDN w:val="0"/>
        <w:adjustRightInd w:val="0"/>
        <w:spacing w:after="0" w:line="240" w:lineRule="auto"/>
        <w:jc w:val="both"/>
        <w:rPr>
          <w:b/>
          <w:color w:val="FF0000"/>
          <w:sz w:val="24"/>
          <w:szCs w:val="24"/>
          <w:rFonts w:cs="TimesNewRoman"/>
        </w:rPr>
      </w:pPr>
      <w:r>
        <w:rPr>
          <w:b/>
          <w:color w:val="FF0000"/>
          <w:sz w:val="24"/>
        </w:rPr>
        <w:t xml:space="preserve">Artykuł 24.</w:t>
      </w:r>
      <w:r>
        <w:rPr>
          <w:b/>
          <w:color w:val="FF0000"/>
          <w:sz w:val="24"/>
        </w:rPr>
        <w:t xml:space="preserve"> </w:t>
      </w:r>
      <w:r>
        <w:rPr>
          <w:b/>
          <w:color w:val="FF0000"/>
          <w:sz w:val="24"/>
        </w:rPr>
        <w:t xml:space="preserve">Zmiany w załączniku I do dyrektywy 94/62/WE Parlamentu Europejskiego i Rady z dnia 20 grudnia 1994 r. w sprawie opakowań i odpadów opakowaniowych zmienionej aktami delegowanymi Komisji Europejskiej przyjętymi zgodnie z art. 19 ust. 2 i art. 21a tej dyrektywy</w:t>
      </w:r>
    </w:p>
    <w:p w14:paraId="08B11AB8" w14:textId="77777777" w:rsidR="000147DB" w:rsidRPr="003E7524" w:rsidRDefault="000147DB" w:rsidP="000147DB">
      <w:pPr>
        <w:autoSpaceDE w:val="0"/>
        <w:autoSpaceDN w:val="0"/>
        <w:adjustRightInd w:val="0"/>
        <w:spacing w:after="0" w:line="240" w:lineRule="auto"/>
        <w:jc w:val="both"/>
        <w:rPr>
          <w:rFonts w:cs="TimesNewRoman"/>
          <w:b/>
          <w:color w:val="FF0000"/>
          <w:sz w:val="24"/>
          <w:szCs w:val="24"/>
          <w:lang w:val="fr-LU" w:eastAsia="fr-BE"/>
        </w:rPr>
      </w:pPr>
    </w:p>
    <w:p w14:paraId="0D5AC822" w14:textId="77777777" w:rsidR="000147DB" w:rsidRPr="003E7524" w:rsidRDefault="000147DB" w:rsidP="000147DB">
      <w:pPr>
        <w:autoSpaceDE w:val="0"/>
        <w:autoSpaceDN w:val="0"/>
        <w:adjustRightInd w:val="0"/>
        <w:spacing w:after="0" w:line="240" w:lineRule="auto"/>
        <w:jc w:val="both"/>
        <w:rPr>
          <w:color w:val="FF0000"/>
          <w:sz w:val="24"/>
          <w:szCs w:val="24"/>
          <w:rFonts w:cs="TimesNewRoman"/>
        </w:rPr>
      </w:pPr>
      <w:r>
        <w:rPr>
          <w:color w:val="FF0000"/>
          <w:sz w:val="24"/>
        </w:rPr>
        <w:t xml:space="preserve">Zmiany w załączniku I do dyrektywy 94/62/WE Parlamentu Europejskiego i Rady z dnia 20 grudnia 1994 r. w sprawie opakowań i odpadów opakowaniowych zmienionej aktami delegowanymi Komisji Europejskiej przyjętymi zgodnie z art. 19 ust. 2 i art. 21a tej dyrektywy mają zastosowanie ze skutkiem na dzień wejścia w życie tych aktów Komisji Europejskiej.</w:t>
      </w:r>
    </w:p>
    <w:p w14:paraId="6EBC782C" w14:textId="77777777" w:rsidR="000147DB" w:rsidRPr="003E7524" w:rsidRDefault="000147DB" w:rsidP="000147DB">
      <w:pPr>
        <w:autoSpaceDE w:val="0"/>
        <w:autoSpaceDN w:val="0"/>
        <w:adjustRightInd w:val="0"/>
        <w:spacing w:after="0" w:line="240" w:lineRule="auto"/>
        <w:jc w:val="both"/>
        <w:rPr>
          <w:color w:val="FF0000"/>
          <w:sz w:val="24"/>
          <w:szCs w:val="24"/>
          <w:rFonts w:cs="TimesNewRoman"/>
        </w:rPr>
      </w:pPr>
      <w:r>
        <w:rPr>
          <w:color w:val="FF0000"/>
          <w:sz w:val="24"/>
        </w:rPr>
        <w:t xml:space="preserve">Minister opublikuje w Dzienniku Urzędowym Wielkiego Księstwa Luksemburga ogłoszenie z informacjami o wprowadzonych zmianach wraz z odniesieniem do aktu opublikowanego w Dzienniku Urzędowym Unii Europejskiej.</w:t>
      </w:r>
      <w:r>
        <w:rPr>
          <w:color w:val="FF0000"/>
          <w:sz w:val="24"/>
        </w:rPr>
        <w:t xml:space="preserve"> </w:t>
      </w:r>
    </w:p>
    <w:p w14:paraId="4F5B1630" w14:textId="77777777" w:rsidR="000147DB" w:rsidRPr="003E7524" w:rsidRDefault="000147DB" w:rsidP="000147DB">
      <w:pPr>
        <w:autoSpaceDE w:val="0"/>
        <w:autoSpaceDN w:val="0"/>
        <w:adjustRightInd w:val="0"/>
        <w:spacing w:after="0" w:line="240" w:lineRule="auto"/>
        <w:jc w:val="both"/>
        <w:rPr>
          <w:rFonts w:cs="TimesNewRoman"/>
          <w:sz w:val="24"/>
          <w:szCs w:val="24"/>
          <w:lang w:val="fr-LU" w:eastAsia="fr-BE"/>
        </w:rPr>
      </w:pPr>
    </w:p>
    <w:p w14:paraId="746EFFFC" w14:textId="77777777" w:rsidR="000147DB" w:rsidRPr="003E7524" w:rsidRDefault="000147DB" w:rsidP="000147DB">
      <w:pPr>
        <w:spacing w:after="0" w:line="240" w:lineRule="auto"/>
        <w:jc w:val="both"/>
        <w:rPr>
          <w:rFonts w:ascii="Times New Roman" w:eastAsia="Times New Roman" w:hAnsi="Times New Roman" w:cs="Times New Roman"/>
          <w:sz w:val="24"/>
          <w:szCs w:val="24"/>
          <w:lang w:val="fr-FR" w:eastAsia="fr-FR"/>
        </w:rPr>
      </w:pPr>
    </w:p>
    <w:p w14:paraId="615F4A80" w14:textId="6951941F" w:rsidR="000147DB" w:rsidRPr="003E7524" w:rsidRDefault="000147DB" w:rsidP="000147DB">
      <w:pPr>
        <w:spacing w:after="200" w:line="276" w:lineRule="auto"/>
        <w:rPr>
          <w:rFonts w:eastAsia="Times New Roman" w:cs="Arial"/>
          <w:b/>
          <w:color w:val="000000"/>
          <w:lang w:val="fr-FR" w:eastAsia="fr-FR"/>
        </w:rPr>
      </w:pPr>
    </w:p>
    <w:p w14:paraId="1FB9F654" w14:textId="77777777" w:rsidR="000147DB" w:rsidRPr="003E7524" w:rsidRDefault="000147DB" w:rsidP="00B972B3">
      <w:pPr>
        <w:keepNext/>
        <w:keepLines/>
        <w:pageBreakBefore/>
        <w:spacing w:after="0" w:line="240" w:lineRule="auto"/>
        <w:jc w:val="center"/>
        <w:rPr>
          <w:b/>
          <w:color w:val="000000"/>
          <w:rFonts w:eastAsia="Times New Roman" w:cs="Arial"/>
        </w:rPr>
      </w:pPr>
      <w:r>
        <w:rPr>
          <w:b/>
          <w:color w:val="000000"/>
        </w:rPr>
        <w:t xml:space="preserve">ZAŁĄCZNIK I</w:t>
      </w:r>
    </w:p>
    <w:p w14:paraId="3C2BC896" w14:textId="77777777" w:rsidR="000147DB" w:rsidRPr="003E7524" w:rsidRDefault="000147DB" w:rsidP="00B972B3">
      <w:pPr>
        <w:keepNext/>
        <w:keepLines/>
        <w:spacing w:after="0" w:line="240" w:lineRule="auto"/>
        <w:jc w:val="center"/>
        <w:rPr>
          <w:b/>
          <w:bCs/>
          <w:color w:val="000000"/>
          <w:rFonts w:eastAsia="Times New Roman" w:cs="Arial"/>
        </w:rPr>
      </w:pPr>
      <w:r>
        <w:rPr>
          <w:b/>
          <w:color w:val="000000"/>
        </w:rPr>
        <w:t xml:space="preserve">Wymogi zasadnicze dotyczące składu, możliwości ponownego wykorzystania i odzysku (zwłaszcza recyklingu) opakowań</w:t>
      </w:r>
    </w:p>
    <w:p w14:paraId="76BAF4AF" w14:textId="77777777" w:rsidR="000147DB" w:rsidRPr="003E7524" w:rsidRDefault="000147DB" w:rsidP="00B972B3">
      <w:pPr>
        <w:keepNext/>
        <w:keepLines/>
        <w:spacing w:after="0" w:line="240" w:lineRule="auto"/>
        <w:jc w:val="center"/>
        <w:rPr>
          <w:rFonts w:eastAsia="Times New Roman" w:cs="Arial"/>
          <w:color w:val="000000"/>
          <w:lang w:val="fr-FR" w:eastAsia="fr-FR"/>
        </w:rPr>
      </w:pPr>
    </w:p>
    <w:p w14:paraId="7D49E7BD" w14:textId="77777777" w:rsidR="000147DB" w:rsidRPr="003E7524" w:rsidRDefault="000147DB" w:rsidP="00B972B3">
      <w:pPr>
        <w:keepNext/>
        <w:keepLines/>
        <w:spacing w:after="0" w:line="240" w:lineRule="auto"/>
        <w:jc w:val="center"/>
        <w:rPr>
          <w:rFonts w:eastAsia="Times New Roman" w:cs="Arial"/>
        </w:rPr>
      </w:pPr>
      <w:r>
        <w:rPr>
          <w:b/>
        </w:rPr>
        <w:t xml:space="preserve">1) Wymogi dotyczące produkcji i składu opakowania</w:t>
      </w:r>
    </w:p>
    <w:p w14:paraId="174C3BC4" w14:textId="77777777" w:rsidR="000147DB" w:rsidRPr="003E7524" w:rsidRDefault="000147DB" w:rsidP="000147DB">
      <w:pPr>
        <w:spacing w:after="0" w:line="240" w:lineRule="auto"/>
        <w:jc w:val="both"/>
        <w:rPr>
          <w:color w:val="000000"/>
          <w:rFonts w:eastAsia="Times New Roman" w:cs="Arial"/>
        </w:rPr>
      </w:pPr>
      <w:r>
        <w:rPr>
          <w:color w:val="000000"/>
        </w:rPr>
        <w:t xml:space="preserve">a) Opakowanie zostanie wytworzone w sposób ograniczający jego objętość i wagę do minimum niezbędnego do zapewnienia wymaganego poziomu bezpieczeństwa, higieny i akceptowalności, zarówno w odniesieniu do produktu pakowanego, jak i konsumenta.</w:t>
      </w:r>
    </w:p>
    <w:p w14:paraId="629D9CA7" w14:textId="17BC5018" w:rsidR="000147DB" w:rsidRPr="003E7524" w:rsidRDefault="000147DB" w:rsidP="000147DB">
      <w:pPr>
        <w:autoSpaceDE w:val="0"/>
        <w:autoSpaceDN w:val="0"/>
        <w:adjustRightInd w:val="0"/>
        <w:spacing w:after="0"/>
        <w:jc w:val="both"/>
        <w:rPr>
          <w:color w:val="FF0000"/>
          <w:sz w:val="24"/>
          <w:szCs w:val="24"/>
          <w:rFonts w:cs="TimesNewRoman"/>
        </w:rPr>
      </w:pPr>
      <w:r>
        <w:rPr>
          <w:color w:val="FF0000"/>
          <w:sz w:val="24"/>
        </w:rPr>
        <w:t xml:space="preserve">b) Opakowanie zostanie zaprojektowane, wytworzone i będzie sprzedawane w sposób umożliwiający jego wielokrotne użycie lub jego odzysk, w tym recykling, zgodnie z hierarchią odpadów, a także ograniczenie do minimum jego oddziaływania na środowisko w momencie usuwania odpadów opakowaniowych lub pozostałości z operacji gospodarowania odpadami opakowaniowymi.</w:t>
      </w:r>
      <w:r>
        <w:rPr>
          <w:color w:val="FF0000"/>
          <w:sz w:val="24"/>
        </w:rPr>
        <w:t xml:space="preserve"> </w:t>
      </w:r>
    </w:p>
    <w:p w14:paraId="538F9353" w14:textId="77777777" w:rsidR="000147DB" w:rsidRPr="003E7524" w:rsidRDefault="000147DB" w:rsidP="000147DB">
      <w:pPr>
        <w:spacing w:after="0" w:line="240" w:lineRule="auto"/>
        <w:jc w:val="both"/>
        <w:rPr>
          <w:rFonts w:eastAsia="Times New Roman" w:cs="Arial"/>
          <w:strike/>
          <w:color w:val="FF0000"/>
          <w:lang w:val="fr-LU" w:eastAsia="fr-FR"/>
        </w:rPr>
      </w:pPr>
    </w:p>
    <w:p w14:paraId="4613BD21" w14:textId="77777777" w:rsidR="000147DB" w:rsidRPr="003E7524" w:rsidRDefault="000147DB" w:rsidP="000147DB">
      <w:pPr>
        <w:spacing w:after="0" w:line="240" w:lineRule="auto"/>
        <w:jc w:val="both"/>
        <w:rPr>
          <w:rFonts w:eastAsia="Times New Roman" w:cs="Arial"/>
          <w:strike/>
          <w:color w:val="FF0000"/>
          <w:lang w:val="fr-FR" w:eastAsia="fr-FR"/>
        </w:rPr>
      </w:pPr>
    </w:p>
    <w:p w14:paraId="7E4B7CFE" w14:textId="77777777" w:rsidR="000147DB" w:rsidRPr="003E7524" w:rsidRDefault="000147DB" w:rsidP="000147DB">
      <w:pPr>
        <w:spacing w:after="0" w:line="240" w:lineRule="auto"/>
        <w:jc w:val="both"/>
        <w:rPr>
          <w:color w:val="000000"/>
          <w:rFonts w:eastAsia="Times New Roman" w:cs="Arial"/>
        </w:rPr>
      </w:pPr>
      <w:r>
        <w:rPr>
          <w:color w:val="000000"/>
        </w:rPr>
        <w:t xml:space="preserve">c) Opakowanie zostanie wytworzone w sposób ograniczający do minimum zawartość substancji szkodliwych i innych substancji niebezpiecznych w materiale opakowaniowym i jego elementach, jeżeli chodzi o ich obecność w emisjach, popiele lub odcieku, które są wynikiem spalania lub składowania opakowań lub pozostałości z operacji gospodarowania odpadami opakowaniowymi.</w:t>
      </w:r>
    </w:p>
    <w:p w14:paraId="31070C98" w14:textId="77777777" w:rsidR="000147DB" w:rsidRPr="003E7524" w:rsidRDefault="000147DB" w:rsidP="000147DB">
      <w:pPr>
        <w:spacing w:after="0" w:line="240" w:lineRule="auto"/>
        <w:rPr>
          <w:rFonts w:eastAsia="Times New Roman" w:cs="Arial"/>
          <w:color w:val="000000"/>
          <w:lang w:val="fr-FR" w:eastAsia="fr-FR"/>
        </w:rPr>
      </w:pPr>
    </w:p>
    <w:p w14:paraId="767AE17B" w14:textId="77777777" w:rsidR="000147DB" w:rsidRPr="003E7524" w:rsidRDefault="000147DB" w:rsidP="00B972B3">
      <w:pPr>
        <w:keepNext/>
        <w:keepLines/>
        <w:spacing w:after="0" w:line="240" w:lineRule="auto"/>
        <w:jc w:val="center"/>
        <w:rPr>
          <w:color w:val="000000"/>
          <w:rFonts w:eastAsia="Times New Roman" w:cs="Arial"/>
        </w:rPr>
      </w:pPr>
      <w:r>
        <w:rPr>
          <w:b/>
          <w:color w:val="000000"/>
        </w:rPr>
        <w:t xml:space="preserve">2) Wymogi dotyczące możliwości ponownego wykorzystania opakowania</w:t>
      </w:r>
    </w:p>
    <w:p w14:paraId="632929B6" w14:textId="77777777" w:rsidR="000147DB" w:rsidRPr="003E7524" w:rsidRDefault="000147DB" w:rsidP="00B972B3">
      <w:pPr>
        <w:keepNext/>
        <w:keepLines/>
        <w:spacing w:after="0" w:line="240" w:lineRule="auto"/>
        <w:jc w:val="both"/>
        <w:rPr>
          <w:color w:val="000000"/>
          <w:rFonts w:eastAsia="Times New Roman" w:cs="Arial"/>
        </w:rPr>
      </w:pPr>
      <w:r>
        <w:rPr>
          <w:color w:val="000000"/>
        </w:rPr>
        <w:t xml:space="preserve">Opakowanie musi spełniać równocześnie następujące wymogi:</w:t>
      </w:r>
    </w:p>
    <w:p w14:paraId="3D32190A" w14:textId="77777777" w:rsidR="000147DB" w:rsidRPr="003E7524" w:rsidRDefault="000147DB" w:rsidP="000147DB">
      <w:pPr>
        <w:spacing w:after="0" w:line="240" w:lineRule="auto"/>
        <w:jc w:val="both"/>
        <w:rPr>
          <w:color w:val="000000"/>
          <w:rFonts w:eastAsia="Times New Roman" w:cs="Arial"/>
        </w:rPr>
      </w:pPr>
      <w:r>
        <w:rPr>
          <w:color w:val="000000"/>
        </w:rPr>
        <w:t xml:space="preserve">a) jego właściwości fizyczne i cechy umożliwiają wielokrotne użycie w normalnie przewidywalnych warunkach użytkowania,</w:t>
      </w:r>
    </w:p>
    <w:p w14:paraId="45F75A04" w14:textId="77777777" w:rsidR="000147DB" w:rsidRPr="003E7524" w:rsidRDefault="000147DB" w:rsidP="000147DB">
      <w:pPr>
        <w:spacing w:after="0" w:line="240" w:lineRule="auto"/>
        <w:jc w:val="both"/>
        <w:rPr>
          <w:color w:val="000000"/>
          <w:rFonts w:eastAsia="Times New Roman" w:cs="Arial"/>
        </w:rPr>
      </w:pPr>
      <w:r>
        <w:rPr>
          <w:color w:val="000000"/>
        </w:rPr>
        <w:t xml:space="preserve">b) istnieje możliwość przetworzenia zużytego opakowania zgodnie z wymogami w dziedzinie zdrowia i bezpieczeństwa pracowników,</w:t>
      </w:r>
    </w:p>
    <w:p w14:paraId="3D452CEF" w14:textId="77777777" w:rsidR="000147DB" w:rsidRPr="003E7524" w:rsidRDefault="000147DB" w:rsidP="000147DB">
      <w:pPr>
        <w:spacing w:after="0" w:line="240" w:lineRule="auto"/>
        <w:jc w:val="both"/>
        <w:rPr>
          <w:color w:val="000000"/>
          <w:rFonts w:eastAsia="Times New Roman" w:cs="Arial"/>
        </w:rPr>
      </w:pPr>
      <w:r>
        <w:rPr>
          <w:color w:val="000000"/>
        </w:rPr>
        <w:t xml:space="preserve">c) przestrzegane są wymogi dotyczące opakowania podlegającego odzyskowi w momencie, gdy nie może ono zostać ponownie wykorzystane i staje się odpadem.</w:t>
      </w:r>
    </w:p>
    <w:p w14:paraId="21D9B2BB" w14:textId="77777777" w:rsidR="000147DB" w:rsidRPr="003E7524" w:rsidRDefault="000147DB" w:rsidP="000147DB">
      <w:pPr>
        <w:spacing w:after="0" w:line="240" w:lineRule="auto"/>
        <w:rPr>
          <w:rFonts w:eastAsia="Times New Roman" w:cs="Arial"/>
          <w:color w:val="000000"/>
          <w:lang w:val="fr-FR" w:eastAsia="fr-FR"/>
        </w:rPr>
      </w:pPr>
    </w:p>
    <w:p w14:paraId="37AA649C" w14:textId="77777777" w:rsidR="000147DB" w:rsidRPr="005E4757" w:rsidRDefault="000147DB" w:rsidP="00B972B3">
      <w:pPr>
        <w:keepNext/>
        <w:keepLines/>
        <w:spacing w:after="0" w:line="240" w:lineRule="auto"/>
        <w:jc w:val="center"/>
        <w:rPr>
          <w:b/>
          <w:bCs/>
          <w:iCs/>
          <w:color w:val="000000"/>
          <w:rFonts w:eastAsia="Times New Roman" w:cs="Arial"/>
        </w:rPr>
      </w:pPr>
      <w:r>
        <w:rPr>
          <w:b/>
          <w:color w:val="000000"/>
        </w:rPr>
        <w:t xml:space="preserve">3) Wymogi dotyczące możliwości odzysku opakowania</w:t>
      </w:r>
    </w:p>
    <w:p w14:paraId="1EE282C0" w14:textId="77777777" w:rsidR="000147DB" w:rsidRPr="003E7524" w:rsidRDefault="000147DB" w:rsidP="00B972B3">
      <w:pPr>
        <w:keepNext/>
        <w:keepLines/>
        <w:spacing w:after="0" w:line="240" w:lineRule="auto"/>
        <w:jc w:val="both"/>
        <w:rPr>
          <w:color w:val="000000"/>
          <w:rFonts w:eastAsia="Times New Roman" w:cs="Arial"/>
        </w:rPr>
      </w:pPr>
      <w:r>
        <w:rPr>
          <w:color w:val="000000"/>
        </w:rPr>
        <w:t xml:space="preserve">a) Opakowanie nadające się do odzysku w procesie recyklingu materiałów</w:t>
      </w:r>
      <w:r>
        <w:rPr>
          <w:color w:val="000000"/>
        </w:rPr>
        <w:t xml:space="preserve"> </w:t>
      </w:r>
    </w:p>
    <w:p w14:paraId="72BEBD90" w14:textId="77777777" w:rsidR="000147DB" w:rsidRPr="003E7524" w:rsidRDefault="000147DB" w:rsidP="000147DB">
      <w:pPr>
        <w:spacing w:after="0" w:line="240" w:lineRule="auto"/>
        <w:jc w:val="both"/>
        <w:rPr>
          <w:color w:val="000000"/>
          <w:rFonts w:eastAsia="Times New Roman" w:cs="Arial"/>
        </w:rPr>
      </w:pPr>
      <w:r>
        <w:rPr>
          <w:color w:val="000000"/>
        </w:rPr>
        <w:t xml:space="preserve">Opakowanie należy wytworzyć w sposób umożliwiający recykling określonego odsetka masy użytych materiałów na potrzeby produkcji towarów nadających się do sprzedaży, zgodnie z normami obowiązującymi w Unii Europejskiej.</w:t>
      </w:r>
      <w:r>
        <w:rPr>
          <w:color w:val="000000"/>
        </w:rPr>
        <w:t xml:space="preserve"> </w:t>
      </w:r>
      <w:r>
        <w:rPr>
          <w:color w:val="000000"/>
        </w:rPr>
        <w:t xml:space="preserve">Określenie odsetka może różnić się w zależności od rodzaju materiału, z którego opakowanie jest wykonane.</w:t>
      </w:r>
    </w:p>
    <w:p w14:paraId="1A7B37E6" w14:textId="77777777" w:rsidR="000147DB" w:rsidRPr="003E7524" w:rsidRDefault="000147DB" w:rsidP="00B972B3">
      <w:pPr>
        <w:keepNext/>
        <w:keepLines/>
        <w:spacing w:after="0" w:line="240" w:lineRule="auto"/>
        <w:jc w:val="both"/>
        <w:rPr>
          <w:color w:val="000000"/>
          <w:rFonts w:eastAsia="Times New Roman" w:cs="Arial"/>
        </w:rPr>
      </w:pPr>
      <w:r>
        <w:rPr>
          <w:color w:val="000000"/>
        </w:rPr>
        <w:t xml:space="preserve">b) Opakowanie nadające się do odzysku przez odzysk energii</w:t>
      </w:r>
      <w:r>
        <w:rPr>
          <w:color w:val="000000"/>
        </w:rPr>
        <w:t xml:space="preserve"> </w:t>
      </w:r>
    </w:p>
    <w:p w14:paraId="041C2C54" w14:textId="77777777" w:rsidR="000147DB" w:rsidRPr="003E7524" w:rsidRDefault="000147DB" w:rsidP="000147DB">
      <w:pPr>
        <w:spacing w:after="0" w:line="240" w:lineRule="auto"/>
        <w:jc w:val="both"/>
        <w:rPr>
          <w:color w:val="000000"/>
          <w:rFonts w:eastAsia="Times New Roman" w:cs="Arial"/>
        </w:rPr>
      </w:pPr>
      <w:r>
        <w:rPr>
          <w:color w:val="000000"/>
        </w:rPr>
        <w:t xml:space="preserve">Odpady opakowaniowe przetworzone w celu odzysku energii będą miały niższą minimalną wartość kaloryczności umożliwiającą optymalny odzysk energii.</w:t>
      </w:r>
    </w:p>
    <w:p w14:paraId="47DD47B7" w14:textId="77777777" w:rsidR="000147DB" w:rsidRPr="003E7524" w:rsidRDefault="000147DB" w:rsidP="00B972B3">
      <w:pPr>
        <w:keepNext/>
        <w:keepLines/>
        <w:spacing w:after="0" w:line="240" w:lineRule="auto"/>
        <w:jc w:val="both"/>
        <w:rPr>
          <w:color w:val="000000"/>
          <w:rFonts w:eastAsia="Times New Roman" w:cs="Arial"/>
        </w:rPr>
      </w:pPr>
      <w:r>
        <w:rPr>
          <w:color w:val="000000"/>
        </w:rPr>
        <w:t xml:space="preserve">c) Opakowanie nadające się do odzysku przez kompostowanie</w:t>
      </w:r>
      <w:r>
        <w:rPr>
          <w:color w:val="000000"/>
        </w:rPr>
        <w:t xml:space="preserve"> </w:t>
      </w:r>
    </w:p>
    <w:p w14:paraId="0F150FF9" w14:textId="77777777" w:rsidR="000147DB" w:rsidRPr="003E7524" w:rsidRDefault="000147DB" w:rsidP="000147DB">
      <w:pPr>
        <w:spacing w:after="0" w:line="240" w:lineRule="auto"/>
        <w:jc w:val="both"/>
        <w:rPr>
          <w:color w:val="000000"/>
          <w:rFonts w:eastAsia="Times New Roman" w:cs="Arial"/>
        </w:rPr>
      </w:pPr>
      <w:r>
        <w:rPr>
          <w:color w:val="000000"/>
        </w:rPr>
        <w:t xml:space="preserve">Odpady opakowaniowe przetwarzane w celu kompostowania muszą być biodegradowalne w dostatecznym stopniu, aby nie stanowić przeszkody w zbiórce selektywnej ani w procesie lub działalności kompostowania, do których są wprowadzone.</w:t>
      </w:r>
    </w:p>
    <w:p w14:paraId="36128ACA" w14:textId="77777777" w:rsidR="000147DB" w:rsidRPr="003E7524" w:rsidRDefault="000147DB" w:rsidP="000147DB">
      <w:pPr>
        <w:spacing w:after="0" w:line="240" w:lineRule="auto"/>
        <w:jc w:val="both"/>
        <w:rPr>
          <w:rFonts w:eastAsia="Times New Roman" w:cs="Arial"/>
          <w:color w:val="000000"/>
          <w:lang w:val="fr-FR" w:eastAsia="fr-FR"/>
        </w:rPr>
      </w:pPr>
    </w:p>
    <w:p w14:paraId="00633E3B" w14:textId="77777777" w:rsidR="000147DB" w:rsidRPr="003E7524" w:rsidRDefault="000147DB" w:rsidP="00B972B3">
      <w:pPr>
        <w:keepNext/>
        <w:keepLines/>
        <w:autoSpaceDE w:val="0"/>
        <w:autoSpaceDN w:val="0"/>
        <w:adjustRightInd w:val="0"/>
        <w:spacing w:after="0"/>
        <w:jc w:val="both"/>
        <w:rPr>
          <w:color w:val="FF0000"/>
          <w:sz w:val="24"/>
          <w:szCs w:val="24"/>
          <w:rFonts w:cs="TimesNewRoman"/>
        </w:rPr>
      </w:pPr>
      <w:r>
        <w:rPr>
          <w:color w:val="FF0000"/>
          <w:sz w:val="24"/>
        </w:rPr>
        <w:t xml:space="preserve">d) Opakowanie biodegradowalne</w:t>
      </w:r>
    </w:p>
    <w:p w14:paraId="7A56FE8C" w14:textId="77777777" w:rsidR="000147DB" w:rsidRPr="003E7524" w:rsidRDefault="000147DB" w:rsidP="000147DB">
      <w:pPr>
        <w:autoSpaceDE w:val="0"/>
        <w:autoSpaceDN w:val="0"/>
        <w:adjustRightInd w:val="0"/>
        <w:spacing w:after="0"/>
        <w:jc w:val="both"/>
        <w:rPr>
          <w:color w:val="FF0000"/>
          <w:sz w:val="24"/>
          <w:szCs w:val="24"/>
          <w:rFonts w:cs="TimesNewRoman"/>
        </w:rPr>
      </w:pPr>
      <w:r>
        <w:rPr>
          <w:color w:val="FF0000"/>
          <w:sz w:val="24"/>
        </w:rPr>
        <w:t xml:space="preserve">Odpady opakowaniowe biodegradowalne muszą mieć właściwości umożliwiające rozkład fizyczny, chemiczny, termiczny lub biologiczny w takim zakresie, by większa część uzyskanego kompostu rozkładała się ostatecznie na dwutlenek węgla, biomasę i wodę.</w:t>
      </w:r>
      <w:r>
        <w:rPr>
          <w:color w:val="FF0000"/>
          <w:sz w:val="24"/>
        </w:rPr>
        <w:t xml:space="preserve"> </w:t>
      </w:r>
    </w:p>
    <w:p w14:paraId="76704C00" w14:textId="77777777" w:rsidR="000147DB" w:rsidRPr="003E7524" w:rsidRDefault="000147DB" w:rsidP="000147DB">
      <w:pPr>
        <w:autoSpaceDE w:val="0"/>
        <w:autoSpaceDN w:val="0"/>
        <w:adjustRightInd w:val="0"/>
        <w:spacing w:after="0"/>
        <w:jc w:val="both"/>
        <w:rPr>
          <w:sz w:val="24"/>
          <w:szCs w:val="24"/>
          <w:rFonts w:cs="TimesNewRoman"/>
        </w:rPr>
      </w:pPr>
      <w:r>
        <w:rPr>
          <w:color w:val="FF0000"/>
          <w:sz w:val="24"/>
        </w:rPr>
        <w:t xml:space="preserve">Opakowania plastikowe podlegające oksydegradacji nie są uznawane za biodegradowalne.</w:t>
      </w:r>
    </w:p>
    <w:p w14:paraId="4D209010" w14:textId="77777777" w:rsidR="000147DB" w:rsidRPr="003E7524" w:rsidRDefault="000147DB" w:rsidP="000147DB">
      <w:pPr>
        <w:autoSpaceDE w:val="0"/>
        <w:autoSpaceDN w:val="0"/>
        <w:adjustRightInd w:val="0"/>
        <w:spacing w:after="0"/>
        <w:jc w:val="both"/>
        <w:rPr>
          <w:rFonts w:cs="TimesNewRoman"/>
          <w:sz w:val="24"/>
          <w:szCs w:val="24"/>
          <w:lang w:val="fr-LU" w:eastAsia="fr-BE"/>
        </w:rPr>
      </w:pPr>
    </w:p>
    <w:p w14:paraId="75439D96" w14:textId="77777777" w:rsidR="000147DB" w:rsidRPr="003E7524" w:rsidRDefault="000147DB" w:rsidP="000147DB">
      <w:pPr>
        <w:spacing w:after="0" w:line="240" w:lineRule="auto"/>
        <w:rPr>
          <w:rFonts w:eastAsia="Times New Roman" w:cs="Arial"/>
          <w:color w:val="000000"/>
          <w:lang w:val="fr-LU" w:eastAsia="fr-FR"/>
        </w:rPr>
      </w:pPr>
    </w:p>
    <w:p w14:paraId="3E017349" w14:textId="77777777" w:rsidR="000147DB" w:rsidRPr="003E7524" w:rsidRDefault="000147DB" w:rsidP="000147DB">
      <w:pPr>
        <w:spacing w:after="0" w:line="240" w:lineRule="auto"/>
        <w:jc w:val="center"/>
        <w:rPr>
          <w:rFonts w:eastAsia="Times New Roman" w:cs="Arial"/>
          <w:strike/>
          <w:u w:val="single"/>
          <w:lang w:val="fr-FR" w:eastAsia="fr-LU"/>
        </w:rPr>
      </w:pPr>
    </w:p>
    <w:p w14:paraId="58B091A8" w14:textId="77777777" w:rsidR="000147DB" w:rsidRPr="003E7524" w:rsidRDefault="000147DB" w:rsidP="00B972B3">
      <w:pPr>
        <w:keepNext/>
        <w:keepLines/>
        <w:spacing w:after="0" w:line="240" w:lineRule="auto"/>
        <w:jc w:val="center"/>
        <w:rPr>
          <w:b/>
          <w:rFonts w:eastAsia="Times New Roman" w:cs="Arial"/>
        </w:rPr>
      </w:pPr>
      <w:r>
        <w:rPr>
          <w:b/>
        </w:rPr>
        <w:t xml:space="preserve">ZAŁĄCZNIK II</w:t>
      </w:r>
    </w:p>
    <w:p w14:paraId="08D0C795" w14:textId="77777777" w:rsidR="000147DB" w:rsidRPr="003E7524" w:rsidRDefault="000147DB" w:rsidP="00B972B3">
      <w:pPr>
        <w:keepNext/>
        <w:keepLines/>
        <w:spacing w:after="0" w:line="240" w:lineRule="auto"/>
        <w:jc w:val="center"/>
        <w:rPr>
          <w:b/>
          <w:bCs/>
          <w:rFonts w:eastAsia="Times New Roman" w:cs="Arial"/>
        </w:rPr>
      </w:pPr>
      <w:r>
        <w:rPr>
          <w:b/>
        </w:rPr>
        <w:t xml:space="preserve">Umowa dotycząca ochrony środowiska</w:t>
      </w:r>
    </w:p>
    <w:p w14:paraId="4C8541AC" w14:textId="77777777" w:rsidR="000147DB" w:rsidRPr="003E7524" w:rsidRDefault="000147DB" w:rsidP="00B972B3">
      <w:pPr>
        <w:keepNext/>
        <w:keepLines/>
        <w:spacing w:after="0" w:line="240" w:lineRule="auto"/>
        <w:jc w:val="both"/>
        <w:rPr>
          <w:rFonts w:eastAsia="Times New Roman" w:cs="Arial"/>
          <w:b/>
          <w:lang w:val="fr-FR" w:eastAsia="fr-LU"/>
        </w:rPr>
      </w:pPr>
    </w:p>
    <w:p w14:paraId="2F353336" w14:textId="77777777" w:rsidR="000147DB" w:rsidRPr="003E7524" w:rsidRDefault="000147DB" w:rsidP="00B972B3">
      <w:pPr>
        <w:keepNext/>
        <w:keepLines/>
        <w:spacing w:after="0" w:line="240" w:lineRule="auto"/>
        <w:jc w:val="both"/>
        <w:rPr>
          <w:rFonts w:eastAsia="Times New Roman" w:cs="Arial"/>
        </w:rPr>
      </w:pPr>
      <w:r>
        <w:t xml:space="preserve">Umowy dotyczące ochrony środowiska przewidziane w niniejszej ustawie podlegają następującym zasadom:</w:t>
      </w:r>
    </w:p>
    <w:p w14:paraId="26FA5C49" w14:textId="77777777" w:rsidR="000147DB" w:rsidRPr="003E7524" w:rsidRDefault="000147DB" w:rsidP="000147DB">
      <w:pPr>
        <w:spacing w:after="0" w:line="240" w:lineRule="auto"/>
        <w:jc w:val="both"/>
        <w:rPr>
          <w:rFonts w:eastAsia="Times New Roman" w:cs="Arial"/>
        </w:rPr>
      </w:pPr>
      <w:r>
        <w:t xml:space="preserve">1) Umowy muszą określać cele i czas trwania.</w:t>
      </w:r>
    </w:p>
    <w:p w14:paraId="6DB322CD" w14:textId="77777777" w:rsidR="000147DB" w:rsidRPr="003E7524" w:rsidRDefault="000147DB" w:rsidP="000147DB">
      <w:pPr>
        <w:spacing w:after="0" w:line="240" w:lineRule="auto"/>
        <w:jc w:val="both"/>
        <w:rPr>
          <w:rFonts w:eastAsia="Times New Roman" w:cs="Arial"/>
        </w:rPr>
      </w:pPr>
      <w:r>
        <w:t xml:space="preserve">2) Umowy i wyniki osiągnięte w następstwie ich wykonania są dostępne dla ogółu obywateli i zgłaszane Komisji Europejskiej przez ministra.</w:t>
      </w:r>
    </w:p>
    <w:p w14:paraId="0C4AFADA" w14:textId="77777777" w:rsidR="000147DB" w:rsidRPr="003E7524" w:rsidRDefault="000147DB" w:rsidP="000147DB">
      <w:pPr>
        <w:spacing w:after="0" w:line="240" w:lineRule="auto"/>
        <w:jc w:val="both"/>
        <w:rPr>
          <w:rFonts w:eastAsia="Times New Roman" w:cs="Arial"/>
        </w:rPr>
      </w:pPr>
      <w:r>
        <w:t xml:space="preserve">3) Wykonanie umów jest przedmiotem regularnej kontroli przez organy administracji.</w:t>
      </w:r>
    </w:p>
    <w:p w14:paraId="338631B9" w14:textId="77777777" w:rsidR="000147DB" w:rsidRPr="003E7524" w:rsidRDefault="000147DB" w:rsidP="000147DB">
      <w:pPr>
        <w:spacing w:after="0" w:line="240" w:lineRule="auto"/>
        <w:jc w:val="both"/>
        <w:rPr>
          <w:rFonts w:eastAsia="Times New Roman" w:cs="Arial"/>
        </w:rPr>
      </w:pPr>
      <w:r>
        <w:t xml:space="preserve">4) Umowy przewidują środki i kary w przypadku nieprzestrzegania ich postanowień.</w:t>
      </w:r>
    </w:p>
    <w:p w14:paraId="3E2E4659" w14:textId="77777777" w:rsidR="000147DB" w:rsidRPr="003E7524" w:rsidRDefault="000147DB" w:rsidP="000147DB">
      <w:pPr>
        <w:spacing w:after="0" w:line="240" w:lineRule="auto"/>
        <w:jc w:val="both"/>
        <w:rPr>
          <w:rFonts w:eastAsia="Times New Roman" w:cs="Arial"/>
        </w:rPr>
      </w:pPr>
      <w:r>
        <w:t xml:space="preserve">5) Umowy są zawierane na czas określony, nieprzekraczający pięciu lat.</w:t>
      </w:r>
      <w:r>
        <w:t xml:space="preserve"> </w:t>
      </w:r>
      <w:r>
        <w:t xml:space="preserve">Umowy nie podlegają automatycznemu przedłużeniu.</w:t>
      </w:r>
    </w:p>
    <w:p w14:paraId="104D8A65" w14:textId="77777777" w:rsidR="000147DB" w:rsidRPr="003E7524" w:rsidRDefault="000147DB" w:rsidP="000147DB">
      <w:pPr>
        <w:spacing w:after="0" w:line="240" w:lineRule="auto"/>
        <w:jc w:val="both"/>
        <w:rPr>
          <w:rFonts w:eastAsia="Times New Roman" w:cs="Arial"/>
        </w:rPr>
      </w:pPr>
      <w:r>
        <w:t xml:space="preserve">6) Umowy wygasają albo po upływie okresu, na który zostały zawarte, albo po osiągnięciu wyznaczonych w nich celów, albo za porozumieniem stron.</w:t>
      </w:r>
    </w:p>
    <w:p w14:paraId="09C2F1CD" w14:textId="77777777" w:rsidR="000147DB" w:rsidRPr="003E7524" w:rsidRDefault="000147DB" w:rsidP="000147DB">
      <w:pPr>
        <w:spacing w:after="0" w:line="240" w:lineRule="auto"/>
        <w:rPr>
          <w:rFonts w:eastAsia="Times New Roman" w:cs="Arial"/>
          <w:lang w:val="fr-FR" w:eastAsia="fr-FR"/>
        </w:rPr>
      </w:pPr>
    </w:p>
    <w:p w14:paraId="16C3064A" w14:textId="77777777" w:rsidR="000147DB" w:rsidRPr="003E7524" w:rsidRDefault="000147DB" w:rsidP="000147DB">
      <w:pPr>
        <w:spacing w:after="0" w:line="240" w:lineRule="auto"/>
        <w:jc w:val="center"/>
        <w:rPr>
          <w:rFonts w:eastAsia="Calibri" w:cs="Arial"/>
          <w:lang w:val="fr-FR"/>
        </w:rPr>
      </w:pPr>
    </w:p>
    <w:p w14:paraId="52D4FCEE" w14:textId="77777777" w:rsidR="000147DB" w:rsidRPr="003E7524" w:rsidRDefault="000147DB" w:rsidP="000147DB">
      <w:pPr>
        <w:spacing w:after="200" w:line="276" w:lineRule="auto"/>
        <w:rPr>
          <w:color w:val="FF0000"/>
        </w:rPr>
      </w:pPr>
      <w:r>
        <w:rPr>
          <w:color w:val="FF0000"/>
        </w:rPr>
        <w:t xml:space="preserve">Ustawa z dnia XXXXX</w:t>
      </w:r>
    </w:p>
    <w:p w14:paraId="4FF80B34" w14:textId="22A28547" w:rsidR="000147DB" w:rsidRPr="003E7524" w:rsidRDefault="000147DB" w:rsidP="000147DB">
      <w:pPr>
        <w:autoSpaceDE w:val="0"/>
        <w:autoSpaceDN w:val="0"/>
        <w:adjustRightInd w:val="0"/>
        <w:spacing w:after="0"/>
        <w:jc w:val="center"/>
        <w:rPr>
          <w:b/>
          <w:color w:val="FF0000"/>
          <w:sz w:val="24"/>
          <w:szCs w:val="24"/>
          <w:u w:val="single"/>
          <w:rFonts w:cs="TimesNewRoman"/>
        </w:rPr>
      </w:pPr>
      <w:r>
        <w:rPr>
          <w:b/>
          <w:color w:val="FF0000"/>
          <w:sz w:val="24"/>
          <w:u w:val="single"/>
        </w:rPr>
        <w:t xml:space="preserve">ZAŁĄCZNIK III</w:t>
      </w:r>
    </w:p>
    <w:p w14:paraId="79D2B46F" w14:textId="77777777" w:rsidR="000147DB" w:rsidRPr="005E4757" w:rsidRDefault="000147DB" w:rsidP="000147DB">
      <w:pPr>
        <w:autoSpaceDE w:val="0"/>
        <w:autoSpaceDN w:val="0"/>
        <w:adjustRightInd w:val="0"/>
        <w:spacing w:after="0"/>
        <w:jc w:val="center"/>
        <w:rPr>
          <w:bCs/>
          <w:color w:val="FF0000"/>
          <w:sz w:val="24"/>
          <w:szCs w:val="24"/>
          <w:u w:val="single"/>
          <w:rFonts w:cs="TimesNewRoman"/>
        </w:rPr>
      </w:pPr>
      <w:r>
        <w:rPr>
          <w:color w:val="FF0000"/>
          <w:sz w:val="24"/>
          <w:u w:val="single"/>
        </w:rPr>
        <w:t xml:space="preserve">Wykaz owoców i warzyw, o których mowa w art. 5 ust. 1 pkt 1</w:t>
      </w:r>
    </w:p>
    <w:p w14:paraId="236111C5" w14:textId="77777777" w:rsidR="000147DB" w:rsidRPr="003E7524" w:rsidRDefault="000147DB" w:rsidP="000147DB">
      <w:pPr>
        <w:autoSpaceDE w:val="0"/>
        <w:autoSpaceDN w:val="0"/>
        <w:adjustRightInd w:val="0"/>
        <w:spacing w:after="0"/>
        <w:jc w:val="center"/>
        <w:rPr>
          <w:rFonts w:cs="TimesNewRoman"/>
          <w:bCs/>
          <w:color w:val="FF0000"/>
          <w:sz w:val="24"/>
          <w:szCs w:val="24"/>
          <w:u w:val="single"/>
          <w:lang w:val="fr-LU" w:eastAsia="fr-BE"/>
        </w:rPr>
      </w:pPr>
    </w:p>
    <w:tbl>
      <w:tblPr>
        <w:tblW w:w="0" w:type="auto"/>
        <w:tblLook w:val="04A0" w:firstRow="1" w:lastRow="0" w:firstColumn="1" w:lastColumn="0" w:noHBand="0" w:noVBand="1"/>
      </w:tblPr>
      <w:tblGrid>
        <w:gridCol w:w="4675"/>
        <w:gridCol w:w="4675"/>
      </w:tblGrid>
      <w:tr w:rsidR="000147DB" w:rsidRPr="00B972B3" w14:paraId="666E3C8A" w14:textId="77777777" w:rsidTr="000147DB">
        <w:tc>
          <w:tcPr>
            <w:tcW w:w="4675" w:type="dxa"/>
          </w:tcPr>
          <w:p w14:paraId="5DF36764" w14:textId="77777777" w:rsidR="000147DB" w:rsidRPr="00B972B3" w:rsidRDefault="000147DB" w:rsidP="000147DB">
            <w:pPr>
              <w:rPr>
                <w:b/>
                <w:color w:val="FF0000"/>
                <w:spacing w:val="-4"/>
              </w:rPr>
            </w:pPr>
            <w:r>
              <w:rPr>
                <w:b/>
                <w:color w:val="FF0000"/>
              </w:rPr>
              <w:t xml:space="preserve">Świeże owoce</w:t>
            </w:r>
          </w:p>
        </w:tc>
        <w:tc>
          <w:tcPr>
            <w:tcW w:w="4675" w:type="dxa"/>
          </w:tcPr>
          <w:p w14:paraId="5DD24357" w14:textId="77777777" w:rsidR="000147DB" w:rsidRPr="00B972B3" w:rsidRDefault="000147DB" w:rsidP="000147DB">
            <w:pPr>
              <w:rPr>
                <w:b/>
                <w:color w:val="FF0000"/>
                <w:spacing w:val="-4"/>
              </w:rPr>
            </w:pPr>
            <w:r>
              <w:rPr>
                <w:b/>
                <w:color w:val="FF0000"/>
              </w:rPr>
              <w:t xml:space="preserve">Świeże warzywa</w:t>
            </w:r>
          </w:p>
        </w:tc>
      </w:tr>
      <w:tr w:rsidR="000147DB" w:rsidRPr="00B972B3" w14:paraId="544C3581" w14:textId="77777777" w:rsidTr="000147DB">
        <w:tc>
          <w:tcPr>
            <w:tcW w:w="4675" w:type="dxa"/>
          </w:tcPr>
          <w:p w14:paraId="2E157577" w14:textId="77777777" w:rsidR="000147DB" w:rsidRPr="00B972B3" w:rsidRDefault="000147DB" w:rsidP="000147DB">
            <w:pPr>
              <w:rPr>
                <w:color w:val="FF0000"/>
                <w:spacing w:val="-4"/>
              </w:rPr>
            </w:pPr>
            <w:r>
              <w:rPr>
                <w:color w:val="FF0000"/>
              </w:rPr>
              <w:t xml:space="preserve">Ananas</w:t>
            </w:r>
          </w:p>
        </w:tc>
        <w:tc>
          <w:tcPr>
            <w:tcW w:w="4675" w:type="dxa"/>
          </w:tcPr>
          <w:p w14:paraId="08482F53" w14:textId="77777777" w:rsidR="000147DB" w:rsidRPr="00B972B3" w:rsidRDefault="000147DB" w:rsidP="000147DB">
            <w:pPr>
              <w:rPr>
                <w:color w:val="FF0000"/>
                <w:spacing w:val="-4"/>
              </w:rPr>
            </w:pPr>
            <w:r>
              <w:rPr>
                <w:color w:val="FF0000"/>
              </w:rPr>
              <w:t xml:space="preserve">Czosnek</w:t>
            </w:r>
          </w:p>
        </w:tc>
      </w:tr>
      <w:tr w:rsidR="000147DB" w:rsidRPr="00B972B3" w14:paraId="679261B3" w14:textId="77777777" w:rsidTr="000147DB">
        <w:tc>
          <w:tcPr>
            <w:tcW w:w="4675" w:type="dxa"/>
          </w:tcPr>
          <w:p w14:paraId="0AAD721B" w14:textId="77777777" w:rsidR="000147DB" w:rsidRPr="00B972B3" w:rsidRDefault="000147DB" w:rsidP="000147DB">
            <w:pPr>
              <w:rPr>
                <w:color w:val="FF0000"/>
                <w:spacing w:val="-4"/>
              </w:rPr>
            </w:pPr>
            <w:r>
              <w:rPr>
                <w:color w:val="FF0000"/>
              </w:rPr>
              <w:t xml:space="preserve">Morela</w:t>
            </w:r>
          </w:p>
        </w:tc>
        <w:tc>
          <w:tcPr>
            <w:tcW w:w="4675" w:type="dxa"/>
          </w:tcPr>
          <w:p w14:paraId="3AFF19ED" w14:textId="77777777" w:rsidR="000147DB" w:rsidRPr="00B972B3" w:rsidRDefault="000147DB" w:rsidP="000147DB">
            <w:pPr>
              <w:rPr>
                <w:color w:val="FF0000"/>
                <w:spacing w:val="-4"/>
              </w:rPr>
            </w:pPr>
            <w:r>
              <w:rPr>
                <w:color w:val="FF0000"/>
              </w:rPr>
              <w:t xml:space="preserve">Karczoch</w:t>
            </w:r>
          </w:p>
        </w:tc>
      </w:tr>
      <w:tr w:rsidR="000147DB" w:rsidRPr="00B972B3" w14:paraId="4B14EBBA" w14:textId="77777777" w:rsidTr="000147DB">
        <w:tc>
          <w:tcPr>
            <w:tcW w:w="4675" w:type="dxa"/>
          </w:tcPr>
          <w:p w14:paraId="75BB109A" w14:textId="77777777" w:rsidR="000147DB" w:rsidRPr="00B972B3" w:rsidRDefault="000147DB" w:rsidP="000147DB">
            <w:pPr>
              <w:rPr>
                <w:color w:val="FF0000"/>
                <w:spacing w:val="-4"/>
              </w:rPr>
            </w:pPr>
            <w:r>
              <w:rPr>
                <w:color w:val="FF0000"/>
              </w:rPr>
              <w:t xml:space="preserve">Awokado</w:t>
            </w:r>
            <w:r>
              <w:rPr>
                <w:color w:val="FF0000"/>
              </w:rPr>
              <w:t xml:space="preserve"> </w:t>
            </w:r>
          </w:p>
        </w:tc>
        <w:tc>
          <w:tcPr>
            <w:tcW w:w="4675" w:type="dxa"/>
          </w:tcPr>
          <w:p w14:paraId="2478D876" w14:textId="77777777" w:rsidR="000147DB" w:rsidRPr="00B972B3" w:rsidRDefault="000147DB" w:rsidP="000147DB">
            <w:pPr>
              <w:rPr>
                <w:color w:val="FF0000"/>
                <w:spacing w:val="-4"/>
              </w:rPr>
            </w:pPr>
            <w:r>
              <w:rPr>
                <w:color w:val="FF0000"/>
              </w:rPr>
              <w:t xml:space="preserve">Szparag</w:t>
            </w:r>
          </w:p>
        </w:tc>
      </w:tr>
      <w:tr w:rsidR="000147DB" w:rsidRPr="00B972B3" w14:paraId="2BDAEE70" w14:textId="77777777" w:rsidTr="000147DB">
        <w:tc>
          <w:tcPr>
            <w:tcW w:w="4675" w:type="dxa"/>
          </w:tcPr>
          <w:p w14:paraId="7CA415A2" w14:textId="77777777" w:rsidR="000147DB" w:rsidRPr="00B972B3" w:rsidRDefault="000147DB" w:rsidP="000147DB">
            <w:pPr>
              <w:rPr>
                <w:color w:val="FF0000"/>
                <w:spacing w:val="-4"/>
              </w:rPr>
            </w:pPr>
            <w:r>
              <w:rPr>
                <w:color w:val="FF0000"/>
              </w:rPr>
              <w:t xml:space="preserve">Banan</w:t>
            </w:r>
          </w:p>
        </w:tc>
        <w:tc>
          <w:tcPr>
            <w:tcW w:w="4675" w:type="dxa"/>
          </w:tcPr>
          <w:p w14:paraId="3DDEEA9A" w14:textId="77777777" w:rsidR="000147DB" w:rsidRPr="00B972B3" w:rsidRDefault="000147DB" w:rsidP="000147DB">
            <w:pPr>
              <w:rPr>
                <w:color w:val="FF0000"/>
                <w:spacing w:val="-4"/>
              </w:rPr>
            </w:pPr>
            <w:r>
              <w:rPr>
                <w:color w:val="FF0000"/>
              </w:rPr>
              <w:t xml:space="preserve">Bakłażan</w:t>
            </w:r>
          </w:p>
        </w:tc>
      </w:tr>
      <w:tr w:rsidR="000147DB" w:rsidRPr="00B972B3" w14:paraId="10164EE1" w14:textId="77777777" w:rsidTr="000147DB">
        <w:tc>
          <w:tcPr>
            <w:tcW w:w="4675" w:type="dxa"/>
          </w:tcPr>
          <w:p w14:paraId="08FA0606" w14:textId="77777777" w:rsidR="000147DB" w:rsidRPr="00B972B3" w:rsidRDefault="000147DB" w:rsidP="000147DB">
            <w:pPr>
              <w:rPr>
                <w:color w:val="FF0000"/>
                <w:spacing w:val="-4"/>
              </w:rPr>
            </w:pPr>
            <w:r>
              <w:rPr>
                <w:color w:val="FF0000"/>
              </w:rPr>
              <w:t xml:space="preserve">Karambola</w:t>
            </w:r>
            <w:r>
              <w:rPr>
                <w:color w:val="FF0000"/>
              </w:rPr>
              <w:t xml:space="preserve"> </w:t>
            </w:r>
          </w:p>
        </w:tc>
        <w:tc>
          <w:tcPr>
            <w:tcW w:w="4675" w:type="dxa"/>
          </w:tcPr>
          <w:p w14:paraId="7AC5C4A8" w14:textId="77777777" w:rsidR="000147DB" w:rsidRPr="00B972B3" w:rsidRDefault="000147DB" w:rsidP="000147DB">
            <w:pPr>
              <w:rPr>
                <w:color w:val="FF0000"/>
                <w:spacing w:val="-4"/>
              </w:rPr>
            </w:pPr>
            <w:r>
              <w:rPr>
                <w:color w:val="FF0000"/>
              </w:rPr>
              <w:t xml:space="preserve">Burak</w:t>
            </w:r>
          </w:p>
        </w:tc>
      </w:tr>
      <w:tr w:rsidR="000147DB" w:rsidRPr="00B972B3" w14:paraId="4B8C13E0" w14:textId="77777777" w:rsidTr="000147DB">
        <w:tc>
          <w:tcPr>
            <w:tcW w:w="4675" w:type="dxa"/>
          </w:tcPr>
          <w:p w14:paraId="42DCCC4E" w14:textId="77777777" w:rsidR="000147DB" w:rsidRPr="00B972B3" w:rsidRDefault="000147DB" w:rsidP="000147DB">
            <w:pPr>
              <w:rPr>
                <w:color w:val="FF0000"/>
                <w:spacing w:val="-4"/>
              </w:rPr>
            </w:pPr>
            <w:r>
              <w:rPr>
                <w:color w:val="FF0000"/>
              </w:rPr>
              <w:t xml:space="preserve">Czereśnia</w:t>
            </w:r>
          </w:p>
        </w:tc>
        <w:tc>
          <w:tcPr>
            <w:tcW w:w="4675" w:type="dxa"/>
          </w:tcPr>
          <w:p w14:paraId="2B969983" w14:textId="77777777" w:rsidR="000147DB" w:rsidRPr="00B972B3" w:rsidRDefault="000147DB" w:rsidP="000147DB">
            <w:pPr>
              <w:rPr>
                <w:color w:val="FF0000"/>
                <w:spacing w:val="-4"/>
              </w:rPr>
            </w:pPr>
            <w:r>
              <w:rPr>
                <w:color w:val="FF0000"/>
              </w:rPr>
              <w:t xml:space="preserve">Brokuł</w:t>
            </w:r>
            <w:r>
              <w:rPr>
                <w:color w:val="FF0000"/>
              </w:rPr>
              <w:t xml:space="preserve"> </w:t>
            </w:r>
          </w:p>
        </w:tc>
      </w:tr>
      <w:tr w:rsidR="000147DB" w:rsidRPr="00B972B3" w14:paraId="071FE714" w14:textId="77777777" w:rsidTr="000147DB">
        <w:tc>
          <w:tcPr>
            <w:tcW w:w="4675" w:type="dxa"/>
          </w:tcPr>
          <w:p w14:paraId="57E357AF" w14:textId="77777777" w:rsidR="000147DB" w:rsidRPr="00B972B3" w:rsidRDefault="000147DB" w:rsidP="000147DB">
            <w:pPr>
              <w:rPr>
                <w:color w:val="FF0000"/>
                <w:spacing w:val="-4"/>
              </w:rPr>
            </w:pPr>
            <w:r>
              <w:rPr>
                <w:color w:val="FF0000"/>
              </w:rPr>
              <w:t xml:space="preserve">Cytryna</w:t>
            </w:r>
          </w:p>
        </w:tc>
        <w:tc>
          <w:tcPr>
            <w:tcW w:w="4675" w:type="dxa"/>
          </w:tcPr>
          <w:p w14:paraId="47A7B036" w14:textId="77777777" w:rsidR="000147DB" w:rsidRPr="00B972B3" w:rsidRDefault="000147DB" w:rsidP="000147DB">
            <w:pPr>
              <w:rPr>
                <w:color w:val="FF0000"/>
                <w:spacing w:val="-4"/>
              </w:rPr>
            </w:pPr>
            <w:r>
              <w:rPr>
                <w:color w:val="FF0000"/>
              </w:rPr>
              <w:t xml:space="preserve">Marchew</w:t>
            </w:r>
          </w:p>
        </w:tc>
      </w:tr>
      <w:tr w:rsidR="000147DB" w:rsidRPr="00B972B3" w14:paraId="28BA8A18" w14:textId="77777777" w:rsidTr="000147DB">
        <w:tc>
          <w:tcPr>
            <w:tcW w:w="4675" w:type="dxa"/>
          </w:tcPr>
          <w:p w14:paraId="6DF0AD79" w14:textId="77777777" w:rsidR="000147DB" w:rsidRPr="00B972B3" w:rsidRDefault="000147DB" w:rsidP="000147DB">
            <w:pPr>
              <w:rPr>
                <w:color w:val="FF0000"/>
                <w:spacing w:val="-4"/>
              </w:rPr>
            </w:pPr>
            <w:r>
              <w:rPr>
                <w:color w:val="FF0000"/>
              </w:rPr>
              <w:t xml:space="preserve">Cytryna zielona</w:t>
            </w:r>
          </w:p>
        </w:tc>
        <w:tc>
          <w:tcPr>
            <w:tcW w:w="4675" w:type="dxa"/>
          </w:tcPr>
          <w:p w14:paraId="453BF889" w14:textId="77777777" w:rsidR="000147DB" w:rsidRPr="00B972B3" w:rsidRDefault="000147DB" w:rsidP="000147DB">
            <w:pPr>
              <w:rPr>
                <w:color w:val="FF0000"/>
                <w:spacing w:val="-4"/>
              </w:rPr>
            </w:pPr>
            <w:r>
              <w:rPr>
                <w:color w:val="FF0000"/>
              </w:rPr>
              <w:t xml:space="preserve">Seler</w:t>
            </w:r>
          </w:p>
        </w:tc>
      </w:tr>
      <w:tr w:rsidR="000147DB" w:rsidRPr="00B972B3" w14:paraId="31FC6842" w14:textId="77777777" w:rsidTr="000147DB">
        <w:tc>
          <w:tcPr>
            <w:tcW w:w="4675" w:type="dxa"/>
          </w:tcPr>
          <w:p w14:paraId="17508AE5" w14:textId="77777777" w:rsidR="000147DB" w:rsidRPr="00B972B3" w:rsidRDefault="000147DB" w:rsidP="000147DB">
            <w:pPr>
              <w:rPr>
                <w:color w:val="FF0000"/>
                <w:spacing w:val="-4"/>
              </w:rPr>
            </w:pPr>
            <w:r>
              <w:rPr>
                <w:color w:val="FF0000"/>
              </w:rPr>
              <w:t xml:space="preserve">Klementynka</w:t>
            </w:r>
          </w:p>
        </w:tc>
        <w:tc>
          <w:tcPr>
            <w:tcW w:w="4675" w:type="dxa"/>
          </w:tcPr>
          <w:p w14:paraId="07ED344F" w14:textId="77777777" w:rsidR="000147DB" w:rsidRPr="00B972B3" w:rsidRDefault="000147DB" w:rsidP="000147DB">
            <w:pPr>
              <w:rPr>
                <w:color w:val="FF0000"/>
                <w:spacing w:val="-4"/>
                <w:lang w:val="fr-FR"/>
              </w:rPr>
            </w:pPr>
          </w:p>
        </w:tc>
      </w:tr>
      <w:tr w:rsidR="000147DB" w:rsidRPr="00B972B3" w14:paraId="6CB8CA75" w14:textId="77777777" w:rsidTr="000147DB">
        <w:tc>
          <w:tcPr>
            <w:tcW w:w="4675" w:type="dxa"/>
          </w:tcPr>
          <w:p w14:paraId="3B38703D" w14:textId="77777777" w:rsidR="000147DB" w:rsidRPr="00B972B3" w:rsidRDefault="000147DB" w:rsidP="000147DB">
            <w:pPr>
              <w:rPr>
                <w:color w:val="FF0000"/>
                <w:spacing w:val="-4"/>
              </w:rPr>
            </w:pPr>
            <w:r>
              <w:rPr>
                <w:color w:val="FF0000"/>
              </w:rPr>
              <w:t xml:space="preserve">Pigwa</w:t>
            </w:r>
          </w:p>
        </w:tc>
        <w:tc>
          <w:tcPr>
            <w:tcW w:w="4675" w:type="dxa"/>
          </w:tcPr>
          <w:p w14:paraId="7F3699D7" w14:textId="77777777" w:rsidR="000147DB" w:rsidRPr="00B972B3" w:rsidRDefault="000147DB" w:rsidP="000147DB">
            <w:pPr>
              <w:rPr>
                <w:color w:val="FF0000"/>
                <w:spacing w:val="-4"/>
              </w:rPr>
            </w:pPr>
            <w:r>
              <w:rPr>
                <w:color w:val="FF0000"/>
              </w:rPr>
              <w:t xml:space="preserve">Brukselka</w:t>
            </w:r>
          </w:p>
        </w:tc>
      </w:tr>
      <w:tr w:rsidR="000147DB" w:rsidRPr="00B972B3" w14:paraId="33415833" w14:textId="77777777" w:rsidTr="000147DB">
        <w:tc>
          <w:tcPr>
            <w:tcW w:w="4675" w:type="dxa"/>
          </w:tcPr>
          <w:p w14:paraId="083BE65D" w14:textId="77777777" w:rsidR="000147DB" w:rsidRPr="00B972B3" w:rsidRDefault="000147DB" w:rsidP="000147DB">
            <w:pPr>
              <w:rPr>
                <w:color w:val="FF0000"/>
                <w:spacing w:val="-4"/>
              </w:rPr>
            </w:pPr>
            <w:r>
              <w:rPr>
                <w:color w:val="FF0000"/>
              </w:rPr>
              <w:t xml:space="preserve">Figa</w:t>
            </w:r>
          </w:p>
        </w:tc>
        <w:tc>
          <w:tcPr>
            <w:tcW w:w="4675" w:type="dxa"/>
          </w:tcPr>
          <w:p w14:paraId="7D013B00" w14:textId="77777777" w:rsidR="000147DB" w:rsidRPr="00B972B3" w:rsidRDefault="000147DB" w:rsidP="000147DB">
            <w:pPr>
              <w:rPr>
                <w:color w:val="FF0000"/>
                <w:spacing w:val="-4"/>
              </w:rPr>
            </w:pPr>
            <w:r>
              <w:rPr>
                <w:color w:val="FF0000"/>
              </w:rPr>
              <w:t xml:space="preserve">Kalafior</w:t>
            </w:r>
            <w:r>
              <w:rPr>
                <w:color w:val="FF0000"/>
              </w:rPr>
              <w:t xml:space="preserve"> </w:t>
            </w:r>
          </w:p>
        </w:tc>
      </w:tr>
      <w:tr w:rsidR="000147DB" w:rsidRPr="00B972B3" w14:paraId="18ACD985" w14:textId="77777777" w:rsidTr="000147DB">
        <w:tc>
          <w:tcPr>
            <w:tcW w:w="4675" w:type="dxa"/>
          </w:tcPr>
          <w:p w14:paraId="6CE17743" w14:textId="77777777" w:rsidR="000147DB" w:rsidRPr="00B972B3" w:rsidRDefault="000147DB" w:rsidP="000147DB">
            <w:pPr>
              <w:rPr>
                <w:color w:val="FF0000"/>
                <w:spacing w:val="-4"/>
              </w:rPr>
            </w:pPr>
            <w:r>
              <w:rPr>
                <w:color w:val="FF0000"/>
              </w:rPr>
              <w:t xml:space="preserve">Marakuja</w:t>
            </w:r>
          </w:p>
        </w:tc>
        <w:tc>
          <w:tcPr>
            <w:tcW w:w="4675" w:type="dxa"/>
          </w:tcPr>
          <w:p w14:paraId="20A94445" w14:textId="77777777" w:rsidR="000147DB" w:rsidRPr="00B972B3" w:rsidRDefault="000147DB" w:rsidP="000147DB">
            <w:pPr>
              <w:rPr>
                <w:color w:val="FF0000"/>
                <w:spacing w:val="-4"/>
              </w:rPr>
            </w:pPr>
            <w:r>
              <w:rPr>
                <w:color w:val="FF0000"/>
              </w:rPr>
              <w:t xml:space="preserve">Kalarepa</w:t>
            </w:r>
            <w:r>
              <w:rPr>
                <w:color w:val="FF0000"/>
              </w:rPr>
              <w:t xml:space="preserve"> </w:t>
            </w:r>
          </w:p>
        </w:tc>
      </w:tr>
      <w:tr w:rsidR="000147DB" w:rsidRPr="00B972B3" w14:paraId="7A4B554F" w14:textId="77777777" w:rsidTr="000147DB">
        <w:tc>
          <w:tcPr>
            <w:tcW w:w="4675" w:type="dxa"/>
          </w:tcPr>
          <w:p w14:paraId="3A217D9C" w14:textId="77777777" w:rsidR="000147DB" w:rsidRPr="00B972B3" w:rsidRDefault="000147DB" w:rsidP="000147DB">
            <w:pPr>
              <w:rPr>
                <w:color w:val="FF0000"/>
                <w:spacing w:val="-4"/>
              </w:rPr>
            </w:pPr>
            <w:r>
              <w:rPr>
                <w:color w:val="FF0000"/>
              </w:rPr>
              <w:t xml:space="preserve">Gujawa</w:t>
            </w:r>
            <w:r>
              <w:rPr>
                <w:color w:val="FF0000"/>
              </w:rPr>
              <w:t xml:space="preserve"> </w:t>
            </w:r>
          </w:p>
        </w:tc>
        <w:tc>
          <w:tcPr>
            <w:tcW w:w="4675" w:type="dxa"/>
          </w:tcPr>
          <w:p w14:paraId="31DCAFA7" w14:textId="77777777" w:rsidR="000147DB" w:rsidRPr="00B972B3" w:rsidRDefault="000147DB" w:rsidP="000147DB">
            <w:pPr>
              <w:rPr>
                <w:color w:val="FF0000"/>
                <w:spacing w:val="-4"/>
              </w:rPr>
            </w:pPr>
            <w:r>
              <w:rPr>
                <w:color w:val="FF0000"/>
              </w:rPr>
              <w:t xml:space="preserve">Kapusta czerwona</w:t>
            </w:r>
          </w:p>
        </w:tc>
      </w:tr>
      <w:tr w:rsidR="000147DB" w:rsidRPr="00B972B3" w14:paraId="46EAAB4B" w14:textId="77777777" w:rsidTr="000147DB">
        <w:tc>
          <w:tcPr>
            <w:tcW w:w="4675" w:type="dxa"/>
          </w:tcPr>
          <w:p w14:paraId="3714A805" w14:textId="77777777" w:rsidR="000147DB" w:rsidRPr="00B972B3" w:rsidRDefault="000147DB" w:rsidP="000147DB">
            <w:pPr>
              <w:rPr>
                <w:color w:val="FF0000"/>
                <w:spacing w:val="-4"/>
              </w:rPr>
            </w:pPr>
            <w:r>
              <w:rPr>
                <w:color w:val="FF0000"/>
              </w:rPr>
              <w:t xml:space="preserve">Granat</w:t>
            </w:r>
            <w:r>
              <w:rPr>
                <w:color w:val="FF0000"/>
              </w:rPr>
              <w:t xml:space="preserve"> </w:t>
            </w:r>
          </w:p>
        </w:tc>
        <w:tc>
          <w:tcPr>
            <w:tcW w:w="4675" w:type="dxa"/>
          </w:tcPr>
          <w:p w14:paraId="2E7E8615" w14:textId="77777777" w:rsidR="000147DB" w:rsidRPr="00B972B3" w:rsidRDefault="000147DB" w:rsidP="000147DB">
            <w:pPr>
              <w:rPr>
                <w:color w:val="FF0000"/>
                <w:spacing w:val="-4"/>
              </w:rPr>
            </w:pPr>
            <w:r>
              <w:rPr>
                <w:color w:val="FF0000"/>
              </w:rPr>
              <w:t xml:space="preserve">Kapusta</w:t>
            </w:r>
          </w:p>
        </w:tc>
      </w:tr>
      <w:tr w:rsidR="000147DB" w:rsidRPr="00B972B3" w14:paraId="4A8B4910" w14:textId="77777777" w:rsidTr="000147DB">
        <w:tc>
          <w:tcPr>
            <w:tcW w:w="4675" w:type="dxa"/>
          </w:tcPr>
          <w:p w14:paraId="33BA4A04" w14:textId="77777777" w:rsidR="000147DB" w:rsidRPr="00B972B3" w:rsidRDefault="000147DB" w:rsidP="000147DB">
            <w:pPr>
              <w:rPr>
                <w:color w:val="FF0000"/>
                <w:spacing w:val="-4"/>
              </w:rPr>
            </w:pPr>
            <w:r>
              <w:rPr>
                <w:color w:val="FF0000"/>
              </w:rPr>
              <w:t xml:space="preserve">Kiwi</w:t>
            </w:r>
          </w:p>
        </w:tc>
        <w:tc>
          <w:tcPr>
            <w:tcW w:w="4675" w:type="dxa"/>
          </w:tcPr>
          <w:p w14:paraId="0CB65944" w14:textId="77777777" w:rsidR="000147DB" w:rsidRPr="00B972B3" w:rsidRDefault="000147DB" w:rsidP="000147DB">
            <w:pPr>
              <w:rPr>
                <w:color w:val="FF0000"/>
                <w:spacing w:val="-4"/>
              </w:rPr>
            </w:pPr>
            <w:r>
              <w:rPr>
                <w:color w:val="FF0000"/>
              </w:rPr>
              <w:t xml:space="preserve">Ogórek</w:t>
            </w:r>
          </w:p>
        </w:tc>
      </w:tr>
      <w:tr w:rsidR="000147DB" w:rsidRPr="00B972B3" w14:paraId="13ADB47D" w14:textId="77777777" w:rsidTr="000147DB">
        <w:tc>
          <w:tcPr>
            <w:tcW w:w="4675" w:type="dxa"/>
          </w:tcPr>
          <w:p w14:paraId="5C7ECFF7" w14:textId="77777777" w:rsidR="000147DB" w:rsidRPr="00B972B3" w:rsidRDefault="000147DB" w:rsidP="000147DB">
            <w:pPr>
              <w:rPr>
                <w:color w:val="FF0000"/>
                <w:spacing w:val="-4"/>
              </w:rPr>
            </w:pPr>
            <w:r>
              <w:rPr>
                <w:color w:val="FF0000"/>
              </w:rPr>
              <w:t xml:space="preserve">Liczi</w:t>
            </w:r>
          </w:p>
        </w:tc>
        <w:tc>
          <w:tcPr>
            <w:tcW w:w="4675" w:type="dxa"/>
          </w:tcPr>
          <w:p w14:paraId="07FD18D1" w14:textId="77777777" w:rsidR="000147DB" w:rsidRPr="00B972B3" w:rsidRDefault="000147DB" w:rsidP="000147DB">
            <w:pPr>
              <w:rPr>
                <w:color w:val="FF0000"/>
                <w:spacing w:val="-4"/>
              </w:rPr>
            </w:pPr>
            <w:r>
              <w:rPr>
                <w:color w:val="FF0000"/>
              </w:rPr>
              <w:t xml:space="preserve">Kabaczek</w:t>
            </w:r>
          </w:p>
        </w:tc>
      </w:tr>
      <w:tr w:rsidR="000147DB" w:rsidRPr="00B972B3" w14:paraId="5BF61E7B" w14:textId="77777777" w:rsidTr="000147DB">
        <w:tc>
          <w:tcPr>
            <w:tcW w:w="4675" w:type="dxa"/>
          </w:tcPr>
          <w:p w14:paraId="09F1D97C" w14:textId="77777777" w:rsidR="000147DB" w:rsidRPr="00B972B3" w:rsidRDefault="000147DB" w:rsidP="000147DB">
            <w:pPr>
              <w:rPr>
                <w:color w:val="FF0000"/>
                <w:spacing w:val="-4"/>
              </w:rPr>
            </w:pPr>
            <w:r>
              <w:rPr>
                <w:color w:val="FF0000"/>
              </w:rPr>
              <w:t xml:space="preserve">Mandarynka</w:t>
            </w:r>
          </w:p>
        </w:tc>
        <w:tc>
          <w:tcPr>
            <w:tcW w:w="4675" w:type="dxa"/>
          </w:tcPr>
          <w:p w14:paraId="1E3114C2" w14:textId="77777777" w:rsidR="000147DB" w:rsidRPr="00B972B3" w:rsidRDefault="000147DB" w:rsidP="000147DB">
            <w:pPr>
              <w:rPr>
                <w:color w:val="FF0000"/>
                <w:spacing w:val="-4"/>
              </w:rPr>
            </w:pPr>
            <w:r>
              <w:rPr>
                <w:color w:val="FF0000"/>
              </w:rPr>
              <w:t xml:space="preserve">Cukinia</w:t>
            </w:r>
            <w:r>
              <w:rPr>
                <w:color w:val="FF0000"/>
              </w:rPr>
              <w:t xml:space="preserve"> </w:t>
            </w:r>
          </w:p>
        </w:tc>
      </w:tr>
      <w:tr w:rsidR="000147DB" w:rsidRPr="00B972B3" w14:paraId="058BE4ED" w14:textId="77777777" w:rsidTr="000147DB">
        <w:tc>
          <w:tcPr>
            <w:tcW w:w="4675" w:type="dxa"/>
          </w:tcPr>
          <w:p w14:paraId="0BFC43E1" w14:textId="77777777" w:rsidR="000147DB" w:rsidRPr="00B972B3" w:rsidRDefault="000147DB" w:rsidP="000147DB">
            <w:pPr>
              <w:rPr>
                <w:color w:val="FF0000"/>
                <w:spacing w:val="-4"/>
              </w:rPr>
            </w:pPr>
            <w:r>
              <w:rPr>
                <w:color w:val="FF0000"/>
              </w:rPr>
              <w:t xml:space="preserve">Mango</w:t>
            </w:r>
          </w:p>
        </w:tc>
        <w:tc>
          <w:tcPr>
            <w:tcW w:w="4675" w:type="dxa"/>
          </w:tcPr>
          <w:p w14:paraId="67C4D77E" w14:textId="77777777" w:rsidR="000147DB" w:rsidRPr="00B972B3" w:rsidRDefault="000147DB" w:rsidP="000147DB">
            <w:pPr>
              <w:rPr>
                <w:color w:val="FF0000"/>
                <w:spacing w:val="-4"/>
              </w:rPr>
            </w:pPr>
            <w:r>
              <w:rPr>
                <w:color w:val="FF0000"/>
              </w:rPr>
              <w:t xml:space="preserve">Fasolka</w:t>
            </w:r>
            <w:r>
              <w:rPr>
                <w:color w:val="FF0000"/>
              </w:rPr>
              <w:t xml:space="preserve"> </w:t>
            </w:r>
          </w:p>
        </w:tc>
      </w:tr>
      <w:tr w:rsidR="000147DB" w:rsidRPr="00B972B3" w14:paraId="66E9EB65" w14:textId="77777777" w:rsidTr="000147DB">
        <w:tc>
          <w:tcPr>
            <w:tcW w:w="4675" w:type="dxa"/>
          </w:tcPr>
          <w:p w14:paraId="62DA1E01" w14:textId="77777777" w:rsidR="000147DB" w:rsidRPr="00B972B3" w:rsidRDefault="000147DB" w:rsidP="000147DB">
            <w:pPr>
              <w:rPr>
                <w:color w:val="FF0000"/>
                <w:spacing w:val="-4"/>
              </w:rPr>
            </w:pPr>
            <w:r>
              <w:rPr>
                <w:color w:val="FF0000"/>
              </w:rPr>
              <w:t xml:space="preserve">Melon</w:t>
            </w:r>
          </w:p>
        </w:tc>
        <w:tc>
          <w:tcPr>
            <w:tcW w:w="4675" w:type="dxa"/>
          </w:tcPr>
          <w:p w14:paraId="64BDF842" w14:textId="77777777" w:rsidR="000147DB" w:rsidRPr="00B972B3" w:rsidRDefault="000147DB" w:rsidP="000147DB">
            <w:pPr>
              <w:rPr>
                <w:color w:val="FF0000"/>
                <w:spacing w:val="-4"/>
              </w:rPr>
            </w:pPr>
            <w:r>
              <w:rPr>
                <w:color w:val="FF0000"/>
              </w:rPr>
              <w:t xml:space="preserve">Cykoria</w:t>
            </w:r>
          </w:p>
        </w:tc>
      </w:tr>
      <w:tr w:rsidR="000147DB" w:rsidRPr="00B972B3" w14:paraId="44E6EB14" w14:textId="77777777" w:rsidTr="000147DB">
        <w:tc>
          <w:tcPr>
            <w:tcW w:w="4675" w:type="dxa"/>
          </w:tcPr>
          <w:p w14:paraId="36F85F5A" w14:textId="77777777" w:rsidR="000147DB" w:rsidRPr="00B972B3" w:rsidRDefault="000147DB" w:rsidP="000147DB">
            <w:pPr>
              <w:rPr>
                <w:color w:val="FF0000"/>
                <w:spacing w:val="-4"/>
              </w:rPr>
            </w:pPr>
            <w:r>
              <w:rPr>
                <w:color w:val="FF0000"/>
              </w:rPr>
              <w:t xml:space="preserve">Mirabelka</w:t>
            </w:r>
          </w:p>
        </w:tc>
        <w:tc>
          <w:tcPr>
            <w:tcW w:w="4675" w:type="dxa"/>
          </w:tcPr>
          <w:p w14:paraId="716EDB7B" w14:textId="77777777" w:rsidR="000147DB" w:rsidRPr="00B972B3" w:rsidRDefault="000147DB" w:rsidP="000147DB">
            <w:pPr>
              <w:rPr>
                <w:color w:val="FF0000"/>
                <w:spacing w:val="-4"/>
              </w:rPr>
            </w:pPr>
            <w:r>
              <w:rPr>
                <w:color w:val="FF0000"/>
              </w:rPr>
              <w:t xml:space="preserve">Koper włoski</w:t>
            </w:r>
          </w:p>
        </w:tc>
      </w:tr>
      <w:tr w:rsidR="000147DB" w:rsidRPr="00B972B3" w14:paraId="4F4FE624" w14:textId="77777777" w:rsidTr="000147DB">
        <w:tc>
          <w:tcPr>
            <w:tcW w:w="4675" w:type="dxa"/>
          </w:tcPr>
          <w:p w14:paraId="69D53F98" w14:textId="77777777" w:rsidR="000147DB" w:rsidRPr="00B972B3" w:rsidRDefault="000147DB" w:rsidP="000147DB">
            <w:pPr>
              <w:rPr>
                <w:color w:val="FF0000"/>
                <w:spacing w:val="-4"/>
              </w:rPr>
            </w:pPr>
            <w:r>
              <w:rPr>
                <w:color w:val="FF0000"/>
              </w:rPr>
              <w:t xml:space="preserve">Nektarynka</w:t>
            </w:r>
          </w:p>
        </w:tc>
        <w:tc>
          <w:tcPr>
            <w:tcW w:w="4675" w:type="dxa"/>
          </w:tcPr>
          <w:p w14:paraId="34F5A88D" w14:textId="77777777" w:rsidR="000147DB" w:rsidRPr="00B972B3" w:rsidRDefault="000147DB" w:rsidP="000147DB">
            <w:pPr>
              <w:rPr>
                <w:color w:val="FF0000"/>
                <w:spacing w:val="-4"/>
              </w:rPr>
            </w:pPr>
            <w:r>
              <w:rPr>
                <w:color w:val="FF0000"/>
              </w:rPr>
              <w:t xml:space="preserve">Kukurydza</w:t>
            </w:r>
          </w:p>
        </w:tc>
      </w:tr>
      <w:tr w:rsidR="000147DB" w:rsidRPr="00B972B3" w14:paraId="3240DCA5" w14:textId="77777777" w:rsidTr="000147DB">
        <w:tc>
          <w:tcPr>
            <w:tcW w:w="4675" w:type="dxa"/>
          </w:tcPr>
          <w:p w14:paraId="473CC067" w14:textId="77777777" w:rsidR="000147DB" w:rsidRPr="00B972B3" w:rsidRDefault="000147DB" w:rsidP="000147DB">
            <w:pPr>
              <w:rPr>
                <w:color w:val="FF0000"/>
                <w:spacing w:val="-4"/>
              </w:rPr>
            </w:pPr>
            <w:r>
              <w:rPr>
                <w:color w:val="FF0000"/>
              </w:rPr>
              <w:t xml:space="preserve">Pomarańcza</w:t>
            </w:r>
          </w:p>
        </w:tc>
        <w:tc>
          <w:tcPr>
            <w:tcW w:w="4675" w:type="dxa"/>
          </w:tcPr>
          <w:p w14:paraId="00AE1AA5" w14:textId="77777777" w:rsidR="000147DB" w:rsidRPr="00B972B3" w:rsidRDefault="000147DB" w:rsidP="000147DB">
            <w:pPr>
              <w:rPr>
                <w:color w:val="FF0000"/>
                <w:spacing w:val="-4"/>
              </w:rPr>
            </w:pPr>
            <w:r>
              <w:rPr>
                <w:color w:val="FF0000"/>
              </w:rPr>
              <w:t xml:space="preserve">Rzepa</w:t>
            </w:r>
          </w:p>
        </w:tc>
      </w:tr>
      <w:tr w:rsidR="000147DB" w:rsidRPr="00B972B3" w14:paraId="30DFD560" w14:textId="77777777" w:rsidTr="000147DB">
        <w:tc>
          <w:tcPr>
            <w:tcW w:w="4675" w:type="dxa"/>
          </w:tcPr>
          <w:p w14:paraId="7D5D8253" w14:textId="77777777" w:rsidR="000147DB" w:rsidRPr="00B972B3" w:rsidRDefault="000147DB" w:rsidP="000147DB">
            <w:pPr>
              <w:rPr>
                <w:color w:val="FF0000"/>
                <w:spacing w:val="-4"/>
              </w:rPr>
            </w:pPr>
            <w:r>
              <w:rPr>
                <w:color w:val="FF0000"/>
              </w:rPr>
              <w:t xml:space="preserve">Papaja</w:t>
            </w:r>
          </w:p>
        </w:tc>
        <w:tc>
          <w:tcPr>
            <w:tcW w:w="4675" w:type="dxa"/>
          </w:tcPr>
          <w:p w14:paraId="075DB470" w14:textId="77777777" w:rsidR="000147DB" w:rsidRPr="00B972B3" w:rsidRDefault="000147DB" w:rsidP="000147DB">
            <w:pPr>
              <w:rPr>
                <w:color w:val="FF0000"/>
                <w:spacing w:val="-4"/>
              </w:rPr>
            </w:pPr>
            <w:r>
              <w:rPr>
                <w:color w:val="FF0000"/>
              </w:rPr>
              <w:t xml:space="preserve">Cebula</w:t>
            </w:r>
          </w:p>
        </w:tc>
      </w:tr>
      <w:tr w:rsidR="000147DB" w:rsidRPr="00B972B3" w14:paraId="115E4F3A" w14:textId="77777777" w:rsidTr="000147DB">
        <w:tc>
          <w:tcPr>
            <w:tcW w:w="4675" w:type="dxa"/>
          </w:tcPr>
          <w:p w14:paraId="16098F8E" w14:textId="77777777" w:rsidR="000147DB" w:rsidRPr="00B972B3" w:rsidRDefault="000147DB" w:rsidP="000147DB">
            <w:pPr>
              <w:rPr>
                <w:color w:val="FF0000"/>
                <w:spacing w:val="-4"/>
                <w:lang w:val="fr-FR"/>
              </w:rPr>
            </w:pPr>
          </w:p>
        </w:tc>
        <w:tc>
          <w:tcPr>
            <w:tcW w:w="4675" w:type="dxa"/>
          </w:tcPr>
          <w:p w14:paraId="07D4FF99" w14:textId="77777777" w:rsidR="000147DB" w:rsidRPr="00B972B3" w:rsidRDefault="000147DB" w:rsidP="000147DB">
            <w:pPr>
              <w:rPr>
                <w:color w:val="FF0000"/>
                <w:spacing w:val="-4"/>
              </w:rPr>
            </w:pPr>
            <w:r>
              <w:rPr>
                <w:color w:val="FF0000"/>
              </w:rPr>
              <w:t xml:space="preserve">Por</w:t>
            </w:r>
          </w:p>
        </w:tc>
      </w:tr>
      <w:tr w:rsidR="000147DB" w:rsidRPr="00B972B3" w14:paraId="09F7F61C" w14:textId="77777777" w:rsidTr="000147DB">
        <w:tc>
          <w:tcPr>
            <w:tcW w:w="4675" w:type="dxa"/>
          </w:tcPr>
          <w:p w14:paraId="6A1211D9" w14:textId="77777777" w:rsidR="000147DB" w:rsidRPr="00B972B3" w:rsidRDefault="000147DB" w:rsidP="000147DB">
            <w:pPr>
              <w:rPr>
                <w:color w:val="FF0000"/>
                <w:spacing w:val="-4"/>
              </w:rPr>
            </w:pPr>
            <w:r>
              <w:rPr>
                <w:color w:val="FF0000"/>
              </w:rPr>
              <w:t xml:space="preserve">Brzoskwinia</w:t>
            </w:r>
          </w:p>
        </w:tc>
        <w:tc>
          <w:tcPr>
            <w:tcW w:w="4675" w:type="dxa"/>
          </w:tcPr>
          <w:p w14:paraId="5243B15C" w14:textId="77777777" w:rsidR="000147DB" w:rsidRPr="00B972B3" w:rsidRDefault="000147DB" w:rsidP="000147DB">
            <w:pPr>
              <w:rPr>
                <w:color w:val="FF0000"/>
                <w:spacing w:val="-4"/>
              </w:rPr>
            </w:pPr>
            <w:r>
              <w:rPr>
                <w:color w:val="FF0000"/>
              </w:rPr>
              <w:t xml:space="preserve">Papryka</w:t>
            </w:r>
          </w:p>
        </w:tc>
      </w:tr>
      <w:tr w:rsidR="000147DB" w:rsidRPr="00B972B3" w14:paraId="6832B4B9" w14:textId="77777777" w:rsidTr="000147DB">
        <w:tc>
          <w:tcPr>
            <w:tcW w:w="4675" w:type="dxa"/>
          </w:tcPr>
          <w:p w14:paraId="08A941EE" w14:textId="77777777" w:rsidR="000147DB" w:rsidRPr="00B972B3" w:rsidRDefault="000147DB" w:rsidP="000147DB">
            <w:pPr>
              <w:rPr>
                <w:color w:val="FF0000"/>
                <w:spacing w:val="-4"/>
              </w:rPr>
            </w:pPr>
            <w:r>
              <w:rPr>
                <w:color w:val="FF0000"/>
              </w:rPr>
              <w:t xml:space="preserve">Miechunka</w:t>
            </w:r>
          </w:p>
        </w:tc>
        <w:tc>
          <w:tcPr>
            <w:tcW w:w="4675" w:type="dxa"/>
          </w:tcPr>
          <w:p w14:paraId="6052EBF3" w14:textId="77777777" w:rsidR="000147DB" w:rsidRPr="00B972B3" w:rsidRDefault="000147DB" w:rsidP="000147DB">
            <w:pPr>
              <w:rPr>
                <w:color w:val="FF0000"/>
                <w:spacing w:val="-4"/>
              </w:rPr>
            </w:pPr>
            <w:r>
              <w:rPr>
                <w:color w:val="FF0000"/>
              </w:rPr>
              <w:t xml:space="preserve">Ziemniak</w:t>
            </w:r>
          </w:p>
        </w:tc>
      </w:tr>
      <w:tr w:rsidR="000147DB" w:rsidRPr="00B972B3" w14:paraId="4F617AD6" w14:textId="77777777" w:rsidTr="000147DB">
        <w:tc>
          <w:tcPr>
            <w:tcW w:w="4675" w:type="dxa"/>
          </w:tcPr>
          <w:p w14:paraId="7C4C092D" w14:textId="77777777" w:rsidR="000147DB" w:rsidRPr="00B972B3" w:rsidRDefault="000147DB" w:rsidP="000147DB">
            <w:pPr>
              <w:rPr>
                <w:color w:val="FF0000"/>
                <w:spacing w:val="-4"/>
              </w:rPr>
            </w:pPr>
            <w:r>
              <w:rPr>
                <w:color w:val="FF0000"/>
              </w:rPr>
              <w:t xml:space="preserve">Pitaja</w:t>
            </w:r>
          </w:p>
        </w:tc>
        <w:tc>
          <w:tcPr>
            <w:tcW w:w="4675" w:type="dxa"/>
          </w:tcPr>
          <w:p w14:paraId="0C08F9BD" w14:textId="77777777" w:rsidR="000147DB" w:rsidRPr="00B972B3" w:rsidRDefault="000147DB" w:rsidP="000147DB">
            <w:pPr>
              <w:rPr>
                <w:color w:val="FF0000"/>
                <w:spacing w:val="-4"/>
              </w:rPr>
            </w:pPr>
            <w:r>
              <w:rPr>
                <w:color w:val="FF0000"/>
              </w:rPr>
              <w:t xml:space="preserve">Dynia</w:t>
            </w:r>
          </w:p>
        </w:tc>
      </w:tr>
      <w:tr w:rsidR="000147DB" w:rsidRPr="00B972B3" w14:paraId="1FEFBA7A" w14:textId="77777777" w:rsidTr="000147DB">
        <w:tc>
          <w:tcPr>
            <w:tcW w:w="4675" w:type="dxa"/>
          </w:tcPr>
          <w:p w14:paraId="69B23FE7" w14:textId="77777777" w:rsidR="000147DB" w:rsidRPr="00B972B3" w:rsidRDefault="000147DB" w:rsidP="000147DB">
            <w:pPr>
              <w:rPr>
                <w:color w:val="FF0000"/>
                <w:spacing w:val="-4"/>
              </w:rPr>
            </w:pPr>
            <w:r>
              <w:rPr>
                <w:color w:val="FF0000"/>
              </w:rPr>
              <w:t xml:space="preserve">Śliwodaktyl / Kaki</w:t>
            </w:r>
          </w:p>
        </w:tc>
        <w:tc>
          <w:tcPr>
            <w:tcW w:w="4675" w:type="dxa"/>
          </w:tcPr>
          <w:p w14:paraId="764A6ACA" w14:textId="77777777" w:rsidR="000147DB" w:rsidRPr="00B972B3" w:rsidRDefault="000147DB" w:rsidP="000147DB">
            <w:pPr>
              <w:rPr>
                <w:color w:val="FF0000"/>
                <w:spacing w:val="-4"/>
              </w:rPr>
            </w:pPr>
            <w:r>
              <w:rPr>
                <w:color w:val="FF0000"/>
              </w:rPr>
              <w:t xml:space="preserve">Rzodkiewka</w:t>
            </w:r>
            <w:r>
              <w:rPr>
                <w:color w:val="FF0000"/>
              </w:rPr>
              <w:t xml:space="preserve"> </w:t>
            </w:r>
          </w:p>
        </w:tc>
      </w:tr>
      <w:tr w:rsidR="000147DB" w:rsidRPr="00B972B3" w14:paraId="11407E0D" w14:textId="77777777" w:rsidTr="000147DB">
        <w:tc>
          <w:tcPr>
            <w:tcW w:w="4675" w:type="dxa"/>
          </w:tcPr>
          <w:p w14:paraId="4AD18DCC" w14:textId="77777777" w:rsidR="000147DB" w:rsidRPr="00B972B3" w:rsidRDefault="000147DB" w:rsidP="000147DB">
            <w:pPr>
              <w:rPr>
                <w:color w:val="FF0000"/>
                <w:spacing w:val="-4"/>
              </w:rPr>
            </w:pPr>
            <w:r>
              <w:rPr>
                <w:color w:val="FF0000"/>
              </w:rPr>
              <w:t xml:space="preserve">Gruszka</w:t>
            </w:r>
          </w:p>
        </w:tc>
        <w:tc>
          <w:tcPr>
            <w:tcW w:w="4675" w:type="dxa"/>
          </w:tcPr>
          <w:p w14:paraId="64399CC8" w14:textId="77777777" w:rsidR="000147DB" w:rsidRPr="00B972B3" w:rsidRDefault="000147DB" w:rsidP="000147DB">
            <w:pPr>
              <w:rPr>
                <w:color w:val="FF0000"/>
                <w:spacing w:val="-4"/>
              </w:rPr>
            </w:pPr>
            <w:r>
              <w:rPr>
                <w:color w:val="FF0000"/>
              </w:rPr>
              <w:t xml:space="preserve">Rabarbar</w:t>
            </w:r>
            <w:r>
              <w:rPr>
                <w:color w:val="FF0000"/>
              </w:rPr>
              <w:t xml:space="preserve"> </w:t>
            </w:r>
          </w:p>
        </w:tc>
      </w:tr>
      <w:tr w:rsidR="000147DB" w:rsidRPr="00B972B3" w14:paraId="32260AF1" w14:textId="77777777" w:rsidTr="000147DB">
        <w:tc>
          <w:tcPr>
            <w:tcW w:w="4675" w:type="dxa"/>
          </w:tcPr>
          <w:p w14:paraId="72306095" w14:textId="77777777" w:rsidR="000147DB" w:rsidRPr="00B972B3" w:rsidRDefault="000147DB" w:rsidP="000147DB">
            <w:pPr>
              <w:rPr>
                <w:color w:val="FF0000"/>
                <w:spacing w:val="-4"/>
              </w:rPr>
            </w:pPr>
            <w:r>
              <w:rPr>
                <w:color w:val="FF0000"/>
              </w:rPr>
              <w:t xml:space="preserve">Pomelo</w:t>
            </w:r>
          </w:p>
        </w:tc>
        <w:tc>
          <w:tcPr>
            <w:tcW w:w="4675" w:type="dxa"/>
          </w:tcPr>
          <w:p w14:paraId="44F6263F" w14:textId="77777777" w:rsidR="000147DB" w:rsidRPr="00B972B3" w:rsidRDefault="000147DB" w:rsidP="000147DB">
            <w:pPr>
              <w:rPr>
                <w:color w:val="FF0000"/>
                <w:spacing w:val="-4"/>
              </w:rPr>
            </w:pPr>
            <w:r>
              <w:rPr>
                <w:color w:val="FF0000"/>
              </w:rPr>
              <w:t xml:space="preserve">Pomidor</w:t>
            </w:r>
          </w:p>
        </w:tc>
      </w:tr>
      <w:tr w:rsidR="000147DB" w:rsidRPr="00B972B3" w14:paraId="4EB16200" w14:textId="77777777" w:rsidTr="000147DB">
        <w:tc>
          <w:tcPr>
            <w:tcW w:w="4675" w:type="dxa"/>
          </w:tcPr>
          <w:p w14:paraId="787E8109" w14:textId="77777777" w:rsidR="000147DB" w:rsidRPr="00B972B3" w:rsidRDefault="000147DB" w:rsidP="000147DB">
            <w:pPr>
              <w:rPr>
                <w:color w:val="FF0000"/>
                <w:spacing w:val="-4"/>
              </w:rPr>
            </w:pPr>
            <w:r>
              <w:rPr>
                <w:color w:val="FF0000"/>
              </w:rPr>
              <w:t xml:space="preserve">Jabłko</w:t>
            </w:r>
          </w:p>
        </w:tc>
        <w:tc>
          <w:tcPr>
            <w:tcW w:w="4675" w:type="dxa"/>
          </w:tcPr>
          <w:p w14:paraId="28292D08" w14:textId="77777777" w:rsidR="000147DB" w:rsidRPr="00B972B3" w:rsidRDefault="000147DB" w:rsidP="000147DB">
            <w:pPr>
              <w:rPr>
                <w:color w:val="FF0000"/>
                <w:spacing w:val="-4"/>
                <w:lang w:val="fr-FR"/>
              </w:rPr>
            </w:pPr>
          </w:p>
        </w:tc>
      </w:tr>
      <w:tr w:rsidR="000147DB" w:rsidRPr="00B972B3" w14:paraId="22A6C632" w14:textId="77777777" w:rsidTr="000147DB">
        <w:tc>
          <w:tcPr>
            <w:tcW w:w="4675" w:type="dxa"/>
          </w:tcPr>
          <w:p w14:paraId="06096887" w14:textId="77777777" w:rsidR="000147DB" w:rsidRPr="00B972B3" w:rsidRDefault="000147DB" w:rsidP="000147DB">
            <w:pPr>
              <w:rPr>
                <w:color w:val="FF0000"/>
                <w:spacing w:val="-4"/>
              </w:rPr>
            </w:pPr>
            <w:r>
              <w:rPr>
                <w:color w:val="FF0000"/>
              </w:rPr>
              <w:t xml:space="preserve">Śliwka</w:t>
            </w:r>
          </w:p>
        </w:tc>
        <w:tc>
          <w:tcPr>
            <w:tcW w:w="4675" w:type="dxa"/>
          </w:tcPr>
          <w:p w14:paraId="31FBC44F" w14:textId="77777777" w:rsidR="000147DB" w:rsidRPr="00B972B3" w:rsidRDefault="000147DB" w:rsidP="000147DB">
            <w:pPr>
              <w:rPr>
                <w:color w:val="FF0000"/>
                <w:spacing w:val="-4"/>
                <w:lang w:val="fr-FR"/>
              </w:rPr>
            </w:pPr>
          </w:p>
        </w:tc>
      </w:tr>
      <w:tr w:rsidR="000147DB" w:rsidRPr="00B972B3" w14:paraId="03FEA02E" w14:textId="77777777" w:rsidTr="000147DB">
        <w:tc>
          <w:tcPr>
            <w:tcW w:w="4675" w:type="dxa"/>
          </w:tcPr>
          <w:p w14:paraId="730E282E" w14:textId="77777777" w:rsidR="000147DB" w:rsidRPr="00B972B3" w:rsidRDefault="000147DB" w:rsidP="000147DB">
            <w:pPr>
              <w:rPr>
                <w:color w:val="FF0000"/>
                <w:spacing w:val="-4"/>
              </w:rPr>
            </w:pPr>
            <w:r>
              <w:rPr>
                <w:color w:val="FF0000"/>
              </w:rPr>
              <w:t xml:space="preserve">Rodzynka</w:t>
            </w:r>
          </w:p>
        </w:tc>
        <w:tc>
          <w:tcPr>
            <w:tcW w:w="4675" w:type="dxa"/>
          </w:tcPr>
          <w:p w14:paraId="01285983" w14:textId="77777777" w:rsidR="000147DB" w:rsidRPr="00B972B3" w:rsidRDefault="000147DB" w:rsidP="000147DB">
            <w:pPr>
              <w:rPr>
                <w:color w:val="FF0000"/>
                <w:spacing w:val="-4"/>
                <w:lang w:val="fr-FR"/>
              </w:rPr>
            </w:pPr>
          </w:p>
        </w:tc>
      </w:tr>
    </w:tbl>
    <w:p w14:paraId="5A53B0EB" w14:textId="77777777" w:rsidR="000147DB" w:rsidRPr="003E7524" w:rsidRDefault="000147DB" w:rsidP="000147DB">
      <w:pPr>
        <w:autoSpaceDE w:val="0"/>
        <w:autoSpaceDN w:val="0"/>
        <w:adjustRightInd w:val="0"/>
        <w:spacing w:after="0"/>
        <w:jc w:val="center"/>
        <w:rPr>
          <w:rFonts w:cs="TimesNewRoman"/>
          <w:color w:val="FF0000"/>
          <w:sz w:val="24"/>
          <w:szCs w:val="24"/>
          <w:u w:val="single"/>
          <w:lang w:val="fr-LU" w:eastAsia="fr-BE"/>
        </w:rPr>
      </w:pPr>
    </w:p>
    <w:p w14:paraId="57B71326" w14:textId="77777777" w:rsidR="000147DB" w:rsidRPr="003E7524" w:rsidRDefault="000147DB" w:rsidP="000147DB">
      <w:pPr>
        <w:autoSpaceDE w:val="0"/>
        <w:autoSpaceDN w:val="0"/>
        <w:adjustRightInd w:val="0"/>
        <w:spacing w:after="0"/>
        <w:jc w:val="center"/>
        <w:rPr>
          <w:rFonts w:cs="TimesNewRoman"/>
          <w:color w:val="FF0000"/>
          <w:sz w:val="24"/>
          <w:szCs w:val="24"/>
          <w:lang w:val="fr-LU" w:eastAsia="fr-BE"/>
        </w:rPr>
      </w:pPr>
    </w:p>
    <w:p w14:paraId="25668959" w14:textId="77777777" w:rsidR="000147DB" w:rsidRPr="003E7524" w:rsidRDefault="000147DB" w:rsidP="000147DB">
      <w:pPr>
        <w:autoSpaceDE w:val="0"/>
        <w:autoSpaceDN w:val="0"/>
        <w:adjustRightInd w:val="0"/>
        <w:spacing w:after="0"/>
        <w:rPr>
          <w:rFonts w:cs="TimesNewRoman"/>
          <w:sz w:val="24"/>
          <w:szCs w:val="24"/>
          <w:lang w:val="fr-FR" w:eastAsia="fr-BE"/>
        </w:rPr>
      </w:pPr>
    </w:p>
    <w:p w14:paraId="69AFEE6D" w14:textId="77777777" w:rsidR="00C660B5" w:rsidRPr="003E7524" w:rsidRDefault="00C660B5"/>
    <w:sectPr w:rsidR="00C660B5" w:rsidRPr="003E75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dirty" w:grammar="dirty"/>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DB"/>
    <w:rsid w:val="000147DB"/>
    <w:rsid w:val="002F5A31"/>
    <w:rsid w:val="003E7524"/>
    <w:rsid w:val="00471E09"/>
    <w:rsid w:val="005E4757"/>
    <w:rsid w:val="006432AD"/>
    <w:rsid w:val="00747C65"/>
    <w:rsid w:val="00B972B3"/>
    <w:rsid w:val="00C660B5"/>
    <w:rsid w:val="00C67B48"/>
    <w:rsid w:val="00FE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4E43"/>
  <w15:chartTrackingRefBased/>
  <w15:docId w15:val="{12AE3B3A-45FF-4B26-936F-4BF0608C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itre">
    <w:name w:val="Chapitre"/>
    <w:basedOn w:val="Normal"/>
    <w:next w:val="Sous-section"/>
    <w:qFormat/>
    <w:rsid w:val="000147DB"/>
  </w:style>
  <w:style w:type="paragraph" w:customStyle="1" w:styleId="Section">
    <w:name w:val="Section"/>
    <w:basedOn w:val="Normal"/>
    <w:next w:val="Article"/>
    <w:qFormat/>
    <w:rsid w:val="000147DB"/>
  </w:style>
  <w:style w:type="paragraph" w:customStyle="1" w:styleId="Sous-section">
    <w:name w:val="Sous-section"/>
    <w:basedOn w:val="Normal"/>
    <w:next w:val="Liste1"/>
    <w:qFormat/>
    <w:rsid w:val="000147DB"/>
  </w:style>
  <w:style w:type="paragraph" w:customStyle="1" w:styleId="Article">
    <w:name w:val="Article"/>
    <w:basedOn w:val="Normal"/>
    <w:next w:val="Liste10"/>
    <w:qFormat/>
    <w:rsid w:val="000147DB"/>
  </w:style>
  <w:style w:type="paragraph" w:customStyle="1" w:styleId="Liste1">
    <w:name w:val="Liste (1)"/>
    <w:basedOn w:val="Normal"/>
    <w:next w:val="Listea"/>
    <w:qFormat/>
    <w:rsid w:val="000147DB"/>
  </w:style>
  <w:style w:type="paragraph" w:customStyle="1" w:styleId="Liste10">
    <w:name w:val="Liste 1."/>
    <w:basedOn w:val="Normal"/>
    <w:next w:val="Numerotation1"/>
    <w:qFormat/>
    <w:rsid w:val="000147DB"/>
  </w:style>
  <w:style w:type="paragraph" w:customStyle="1" w:styleId="Listea">
    <w:name w:val="Liste a)"/>
    <w:basedOn w:val="Numerotation1"/>
    <w:next w:val="Numerotationa"/>
    <w:qFormat/>
    <w:rsid w:val="000147DB"/>
  </w:style>
  <w:style w:type="paragraph" w:customStyle="1" w:styleId="Numerotation1">
    <w:name w:val="Numerotation 1."/>
    <w:basedOn w:val="Normal"/>
    <w:qFormat/>
    <w:rsid w:val="000147DB"/>
  </w:style>
  <w:style w:type="paragraph" w:customStyle="1" w:styleId="Numerotationa">
    <w:name w:val="Numerotation a)"/>
    <w:basedOn w:val="Numerotation1"/>
    <w:next w:val="Normal"/>
    <w:qFormat/>
    <w:rsid w:val="000147DB"/>
  </w:style>
  <w:style w:type="table" w:styleId="TableGrid">
    <w:name w:val="Table Grid"/>
    <w:basedOn w:val="TableNormal"/>
    <w:uiPriority w:val="39"/>
    <w:rsid w:val="0001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ilux.public.lu/eli/etat/leg/loi/2012/03/21/n1/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19</Pages>
  <Words>6879</Words>
  <Characters>39212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46000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2</cp:revision>
  <dcterms:created xsi:type="dcterms:W3CDTF">2020-07-27T11:52:00Z</dcterms:created>
  <dcterms:modified xsi:type="dcterms:W3CDTF">2020-07-30T08:24:00Z</dcterms:modified>
</cp:coreProperties>
</file>