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sz w:val="20"/>
          <w:szCs w:val="20"/>
          <w:rFonts w:ascii="Courier New" w:hAnsi="Courier New" w:cs="Courier New"/>
        </w:rPr>
      </w:pPr>
      <w:bookmarkStart w:id="0" w:name="_Hlk46997595"/>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------IND- 2020 0485 L-- SL- ------ 20200812 --- --- PROJET</w:t>
      </w:r>
    </w:p>
    <w:bookmarkEnd w:id="0"/>
    <w:p w14:paraId="064DCE1A" w14:textId="2EE2449E" w:rsidR="000147DB" w:rsidRPr="003E7524" w:rsidRDefault="000147DB" w:rsidP="002F5A31">
      <w:pPr>
        <w:keepNext/>
        <w:keepLines/>
        <w:spacing w:after="200" w:line="276" w:lineRule="auto"/>
        <w:jc w:val="center"/>
        <w:rPr>
          <w:b/>
          <w:sz w:val="24"/>
          <w:szCs w:val="24"/>
          <w:rFonts w:ascii="Times New Roman" w:eastAsia="Times New Roman" w:hAnsi="Times New Roman" w:cs="Times New Roman"/>
        </w:rPr>
      </w:pPr>
      <w:r>
        <w:rPr>
          <w:b/>
          <w:sz w:val="24"/>
          <w:rFonts w:ascii="Times New Roman" w:hAnsi="Times New Roman"/>
        </w:rPr>
        <w:t xml:space="preserve">Zakon z dne 21. marca 2017 o embalaži in odpadni embalaži</w:t>
      </w:r>
    </w:p>
    <w:p w14:paraId="71E8730A" w14:textId="77777777" w:rsidR="000147DB" w:rsidRPr="003E7524" w:rsidRDefault="000147DB" w:rsidP="002F5A31">
      <w:pPr>
        <w:keepNext/>
        <w:keepLines/>
        <w:autoSpaceDE w:val="0"/>
        <w:autoSpaceDN w:val="0"/>
        <w:adjustRightInd w:val="0"/>
        <w:spacing w:after="120" w:line="276" w:lineRule="auto"/>
        <w:jc w:val="center"/>
        <w:rPr>
          <w:b/>
          <w:sz w:val="24"/>
          <w:szCs w:val="24"/>
          <w:rFonts w:cs="Times New Roman"/>
        </w:rPr>
      </w:pPr>
      <w:r>
        <w:rPr>
          <w:b/>
          <w:sz w:val="24"/>
        </w:rPr>
        <w:t xml:space="preserve">Usklajeno besedilo</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color w:val="FF0000"/>
          <w:sz w:val="24"/>
          <w:szCs w:val="24"/>
          <w:rFonts w:eastAsia="Calibri" w:cs="TimesLTStd-Roman"/>
        </w:rPr>
      </w:pPr>
      <w:r>
        <w:rPr>
          <w:color w:val="FF0000"/>
          <w:sz w:val="24"/>
          <w:u w:val="single"/>
        </w:rPr>
        <w:t xml:space="preserve">Člen 1.</w:t>
      </w:r>
      <w:r>
        <w:rPr>
          <w:color w:val="FF0000"/>
          <w:sz w:val="24"/>
          <w:u w:val="single"/>
        </w:rPr>
        <w:t xml:space="preserve"> </w:t>
      </w:r>
      <w:r>
        <w:rPr>
          <w:color w:val="FF0000"/>
          <w:sz w:val="24"/>
          <w:u w:val="single"/>
        </w:rPr>
        <w:t xml:space="preserve">Cilji</w:t>
      </w:r>
    </w:p>
    <w:p w14:paraId="20EDAC04" w14:textId="77777777" w:rsidR="000147DB" w:rsidRPr="003E7524" w:rsidRDefault="000147DB" w:rsidP="000147DB">
      <w:pPr>
        <w:spacing w:beforeLines="100" w:before="240" w:after="240" w:line="240" w:lineRule="auto"/>
        <w:jc w:val="both"/>
        <w:rPr>
          <w:color w:val="FF0000"/>
          <w:sz w:val="24"/>
          <w:szCs w:val="24"/>
          <w:rFonts w:eastAsia="Calibri" w:cs="TimesLTStd-Roman"/>
        </w:rPr>
      </w:pPr>
      <w:r>
        <w:rPr>
          <w:color w:val="FF0000"/>
          <w:sz w:val="24"/>
        </w:rPr>
        <w:t xml:space="preserve"> </w:t>
      </w:r>
      <w:r>
        <w:rPr>
          <w:color w:val="FF0000"/>
          <w:sz w:val="24"/>
        </w:rPr>
        <w:t xml:space="preserve">Ta zakon določa ukrepe, katerih glavni cilj je preprečiti nastajanje odpadne embalaže, druga osnovna načela pa so ponovna uporaba embalaže, recikliranje in druge oblike predelave odpadne embalaže ter s tem zmanjšanje dokončnega odstranjevanja takšnih odpadkov z namenom prispevanja k prehodu na krožno gospodarstvo.</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 xml:space="preserve">Člen 2.</w:t>
      </w:r>
      <w:r>
        <w:rPr>
          <w:b/>
        </w:rPr>
        <w:t xml:space="preserve"> </w:t>
      </w:r>
      <w:r>
        <w:rPr>
          <w:b/>
        </w:rPr>
        <w:t xml:space="preserve">Področje uporabe</w:t>
      </w:r>
    </w:p>
    <w:p w14:paraId="10EC3FDA" w14:textId="77777777" w:rsidR="000147DB" w:rsidRPr="003E7524" w:rsidRDefault="000147DB" w:rsidP="000147DB">
      <w:pPr>
        <w:spacing w:after="0" w:line="240" w:lineRule="auto"/>
        <w:jc w:val="both"/>
        <w:rPr>
          <w:rFonts w:eastAsia="Times New Roman" w:cs="Arial"/>
        </w:rPr>
      </w:pPr>
      <w:r>
        <w:t xml:space="preserve">Ta zakon se uporablja za vso embalažo, dano na luksemburški trg, in za vso odpadno embalažo, ki se uporablja ali zavrže v industrijskih obratih, trgovinah, pisarnah, delavnicah, službah, gospodinjstvih ali kjer koli drugje, ne glede na njene sestavne materiale.</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color w:val="FF0000"/>
          <w:sz w:val="24"/>
          <w:szCs w:val="24"/>
          <w:u w:val="single"/>
          <w:rFonts w:eastAsia="Calibri" w:cs="TimesLTStd-Roman"/>
        </w:rPr>
      </w:pPr>
      <w:r>
        <w:rPr>
          <w:color w:val="FF0000"/>
          <w:sz w:val="24"/>
          <w:u w:val="single"/>
        </w:rPr>
        <w:t xml:space="preserve">Člen 3.</w:t>
      </w:r>
      <w:r>
        <w:rPr>
          <w:color w:val="FF0000"/>
          <w:sz w:val="24"/>
          <w:u w:val="single"/>
        </w:rPr>
        <w:t xml:space="preserve"> </w:t>
      </w:r>
      <w:r>
        <w:rPr>
          <w:color w:val="FF0000"/>
          <w:sz w:val="24"/>
          <w:u w:val="single"/>
        </w:rPr>
        <w:t xml:space="preserve">Opredelitev pojmov</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rPr>
        <w:t xml:space="preserve">V tem zakonu se uporabljajo naslednje opredelitve:</w:t>
      </w:r>
    </w:p>
    <w:p w14:paraId="51BA376E"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 „gospodinjski subjekti“ v zvezi z embalažo pomenijo dobavitelje embalažnih materialov, proizvajalce embalaže in obrate za predelavo embalaže, embalerje in uporabnike, uvoznike, trgovce in distributerje, državne organe in organizacije javnega prava;</w:t>
      </w:r>
    </w:p>
    <w:p w14:paraId="6FED5C4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 „okoljski sporazum“: formalni sporazum, sklenjen med ministrom, pristojnim za okolje (v nadaljnjem besedilu: minister), in osebami, odgovornimi za embalažo, ali pooblaščenimi organi, ki mora biti dostopen vsem gospodarskim subjektom, ki želijo izpolnjevati pogoje, določene v sporazumu, da bi dosegle cilje iz člena 1;</w:t>
      </w:r>
    </w:p>
    <w:p w14:paraId="7FF966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3. „embaliranje“ in „embalaža“: dajanje živila v ovoj ali posodo, ki je v neposrednem stiku z zadevnim živilom, oziroma sam ovoj ali posoda;</w:t>
      </w:r>
    </w:p>
    <w:p w14:paraId="1DD8A02E" w14:textId="77777777" w:rsidR="000147DB" w:rsidRPr="00471E09"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4. „odpadna embalaža“: kakršna koli embalaža ali embalažni material, ki spada v opredelitev pojma odpadek iz člena 3 Zakona z dne 21. marca 2012 o odpadkih in virih (v nadaljnjem besedilu: zakon z dne 21. marca 2012), kakor je bil spremenjen, razen ostankov iz proizvodnje;</w:t>
      </w:r>
    </w:p>
    <w:p w14:paraId="1A85C693" w14:textId="77777777" w:rsidR="000147DB" w:rsidRPr="003E7524" w:rsidRDefault="000147DB" w:rsidP="000147DB">
      <w:pPr>
        <w:autoSpaceDE w:val="0"/>
        <w:autoSpaceDN w:val="0"/>
        <w:adjustRightInd w:val="0"/>
        <w:spacing w:after="0" w:line="240" w:lineRule="auto"/>
        <w:jc w:val="both"/>
        <w:rPr>
          <w:b/>
          <w:color w:val="FF0000"/>
          <w:sz w:val="24"/>
          <w:szCs w:val="24"/>
          <w:rFonts w:cs="TimesLTStd-Roman"/>
        </w:rPr>
      </w:pPr>
      <w:r>
        <w:rPr>
          <w:color w:val="FF0000"/>
          <w:sz w:val="24"/>
        </w:rPr>
        <w:t xml:space="preserve">5. „gospodinjska odpadna embalaža“: odpadna embalaža, ki predstavlja gospodinjski komunalni odpadek v smislu zakona z dne 21. marca 2012;</w:t>
      </w:r>
    </w:p>
    <w:p w14:paraId="191FC24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6. „negospodinjska odpadna embalaža“: odpadna embalaža, ki predstavlja negospodinjski komunalni odpadek v smislu zakona z dne 21. marca 2012;</w:t>
      </w:r>
    </w:p>
    <w:p w14:paraId="726D059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7. „embalaža“ pomeni vse proizvode iz kakršnih koli materialov, ki se uporabljajo za shranjevanje in zaščito blaga, ravnanje z njim, njegovo dostavo in predstavitev, od surovin do obdelanega blaga, ki ga proizvajalec preda uporabniku ali potrošniku.</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Vsi predmeti, ki jih je treba zavreči in se uporabljajo za isti namen, štejejo za embalažo.</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rPr>
        <w:t xml:space="preserve">Embalažo sestavljajo izključno:</w:t>
      </w:r>
    </w:p>
    <w:p w14:paraId="5E80CA9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a) prodajna embalaža ali primarna embalaža, tj. embalaža, ki na prodajnem mestu končnemu uporabniku ali potrošniku predstavlja prodajno enoto;</w:t>
      </w:r>
    </w:p>
    <w:p w14:paraId="0DE873CC"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b) skupinska embalaža ali sekundarna embalaža, tj. embalaža, ki na prodajnem mestu predstavlja paket določenega števila prodajnih enot, ki se končnemu uporabniku ali potrošniku lahko proda kot celota ali pa služi le kot sredstvo za napolnitev polic na prodajnem mestu; s proizvoda se lahko odstrani, ne da bi to vplivalo na njegove lastnosti;</w:t>
      </w:r>
    </w:p>
    <w:p w14:paraId="29AF1F65"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c) transportna embalaža ali terciarna embalaža, tj. embalaža, katere namen je olajšati prenašanje večjega števila prodajnih enot ali skupinskih embalaž in njihov prevoz, da se prepreči neposredno dotikanje in poškodbe pri prevozu.</w:t>
      </w:r>
      <w:r>
        <w:rPr>
          <w:color w:val="FF0000"/>
          <w:sz w:val="24"/>
        </w:rPr>
        <w:t xml:space="preserve"> </w:t>
      </w:r>
      <w:r>
        <w:rPr>
          <w:color w:val="FF0000"/>
          <w:sz w:val="24"/>
        </w:rPr>
        <w:t xml:space="preserve">Transportna embalaža ne vključuje zabojnikov za cestni, železniški, ladijski in letalski prevoz.</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LTStd-Roman"/>
        </w:rPr>
      </w:pPr>
      <w:r>
        <w:rPr>
          <w:color w:val="FF0000"/>
          <w:sz w:val="24"/>
        </w:rPr>
        <w:t xml:space="preserve">Opredelitev pojma „embalaža“ mora med drugim temeljiti na naslednjih merilih:</w:t>
      </w:r>
    </w:p>
    <w:p w14:paraId="0BE24D6D"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i.</w:t>
      </w:r>
      <w:r>
        <w:rPr>
          <w:color w:val="FF0000"/>
          <w:sz w:val="24"/>
        </w:rPr>
        <w:t xml:space="preserve"> </w:t>
      </w:r>
      <w:r>
        <w:rPr>
          <w:color w:val="FF0000"/>
          <w:sz w:val="24"/>
        </w:rPr>
        <w:t xml:space="preserve">šteje se, da so predmeti embalaža, če ustrezajo zgoraj navedeni opredelitvi pojma, ne da bi to posegalo v druge morebitne funkcije embalaže, razen če je predmet sestavni del proizvoda in je potreben za to, da vsebuje, podpira ali ohranja navedeni proizvod njegovo celotno življenjsko dobo, ter je namenjeno, da se vsi elementi uporabijo, potrošijo ali odstranijo skupaj;</w:t>
      </w:r>
    </w:p>
    <w:p w14:paraId="03C118C8"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ii.</w:t>
      </w:r>
      <w:r>
        <w:rPr>
          <w:color w:val="FF0000"/>
          <w:sz w:val="24"/>
        </w:rPr>
        <w:t xml:space="preserve"> </w:t>
      </w:r>
      <w:r>
        <w:rPr>
          <w:color w:val="FF0000"/>
          <w:sz w:val="24"/>
        </w:rPr>
        <w:t xml:space="preserve">šteje se, da so predmeti, ki so oblikovani za polnjenje na prodajnem mestu, ter predmeti za enkratno uporabo, ki so prodani, napolnjeni ali oblikovani in namenjeni za polnjenje na prodajnem mestu, embalaža, pod pogojem, da imajo funkcijo embalaže in sestavljajo pakirno embalažo;</w:t>
      </w:r>
    </w:p>
    <w:p w14:paraId="21E05D64" w14:textId="77777777" w:rsidR="000147DB" w:rsidRPr="003E7524" w:rsidRDefault="000147DB" w:rsidP="000147DB">
      <w:pPr>
        <w:autoSpaceDE w:val="0"/>
        <w:autoSpaceDN w:val="0"/>
        <w:adjustRightInd w:val="0"/>
        <w:spacing w:after="0" w:line="240" w:lineRule="auto"/>
        <w:ind w:left="720"/>
        <w:jc w:val="both"/>
        <w:rPr>
          <w:color w:val="FF0000"/>
          <w:sz w:val="24"/>
          <w:szCs w:val="24"/>
          <w:rFonts w:eastAsia="Calibri" w:cs="TimesLTStd-Roman"/>
        </w:rPr>
      </w:pPr>
      <w:r>
        <w:rPr>
          <w:color w:val="FF0000"/>
          <w:sz w:val="24"/>
        </w:rPr>
        <w:t xml:space="preserve">iii.</w:t>
      </w:r>
      <w:r>
        <w:rPr>
          <w:color w:val="FF0000"/>
          <w:sz w:val="24"/>
        </w:rPr>
        <w:t xml:space="preserve"> </w:t>
      </w:r>
      <w:r>
        <w:rPr>
          <w:color w:val="FF0000"/>
          <w:sz w:val="24"/>
        </w:rPr>
        <w:t xml:space="preserve">šteje se, da so sestavine embalaže in dodatni elementi, vključeni v embalažo, del embalaže, v katero so vključeni.</w:t>
      </w:r>
      <w:r>
        <w:rPr>
          <w:color w:val="FF0000"/>
          <w:sz w:val="24"/>
        </w:rPr>
        <w:t xml:space="preserve"> </w:t>
      </w:r>
      <w:r>
        <w:rPr>
          <w:color w:val="FF0000"/>
          <w:sz w:val="24"/>
        </w:rPr>
        <w:t xml:space="preserve">Šteje se, da so dodatni elementi, ki so neposredno obešeni ali pritrjeni na proizvod in opravljajo funkcijo embalaže, embalaža, razen če so sestavni del tega proizvoda ter je namen, da se vsi elementi potrošijo ali odstranijo skupaj.</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Predmeti, navedeni v Prilogi I k Direktivi 94/62/ES Evropskega parlamenta in Sveta z dne 20. decembra 1994 o embalaži in odpadni embalaži, kakor je bila spremenjena z delegiranimi akti Evropske komisije, sprejetimi v skladu s členom 19(2) in člena 21a navedene direktive, so nazorni primeri uporabe teh meril;</w:t>
      </w:r>
    </w:p>
    <w:p w14:paraId="44FB8E0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8. „embalaža za ponovno uporabo“ pomeni embalažo, ki je bila zasnovana, oblikovana in dana na trg, da bi v svojem življenjskem ciklu opravila več poti ali krogov, tako da bi se znova napolnila ali uporabila za isti namen, za katerega je bila zasnovana;</w:t>
      </w:r>
    </w:p>
    <w:p w14:paraId="0184054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9. „sestavljena embalaža“ pomeni embalažo, narejeno iz dveh ali več slojev različnih materialov, ki jih ročno ni mogoče ločiti in ki tvorijo eno samo neločljivo enoto, sestavljeno iz notranjega vsebnika in zunanjega ohišja, ki se kot taka polni, shranjuje, prevaža in prazni;</w:t>
      </w:r>
    </w:p>
    <w:p w14:paraId="40CA1AE7"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rPr>
        <w:t xml:space="preserve">10. „centralizirano upravljanje“ pomeni sistem, ki pooblaščenemu organu omogoča prevzemanje odgovornosti za odpadno embalažo iz zbirnega centra za prostovoljno zbiranje z namenom njene reciklaže;</w:t>
      </w:r>
    </w:p>
    <w:p w14:paraId="2476E1A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11. „ravnanje z odpadno embalažo“: ravnanje z odpadki, kot določa člen 4 zakona z dne 21. marca 2012;</w:t>
      </w:r>
    </w:p>
    <w:p w14:paraId="7FBC22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12. „embalažni material“: vsaka enostavna ali sestavljena snov naravnega ali umetnega izvora, ki sestavlja embalažo;</w:t>
      </w:r>
    </w:p>
    <w:p w14:paraId="6F8770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13. „dajanje na razpolago na trgu“: zagotavljanje določenega proizvoda za distribucijo, potrošnjo ali uporabo na luksemburškem ozemlju v okviru trgovinske dejavnosti, bodisi za plačilo ali brezplačno;</w:t>
      </w:r>
      <w:r>
        <w:rPr>
          <w:color w:val="FF0000"/>
          <w:sz w:val="24"/>
        </w:rPr>
        <w:t xml:space="preserve"> </w:t>
      </w:r>
    </w:p>
    <w:p w14:paraId="39E8CFE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14. „dajanje na trg“: prvo dajanje proizvoda na razpolago na luksemburškem trgu;</w:t>
      </w:r>
    </w:p>
    <w:p w14:paraId="337D071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15. „pooblaščeni organ“: pravna oseba, ki je pooblaščena v skladu z zakonom z dne 21. marca 2012 in prevzema obveznosti razširjene odgovornosti proizvajalca;</w:t>
      </w:r>
      <w:r>
        <w:rPr>
          <w:color w:val="FF0000"/>
          <w:sz w:val="24"/>
        </w:rPr>
        <w:t xml:space="preserve"> </w:t>
      </w:r>
    </w:p>
    <w:p w14:paraId="3063727E" w14:textId="5A2948D3"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16. „plastika“ pomeni polimer v smislu člena 3(5) Uredbe (ES)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ki so mu lahko dodani aditivi ali druge snovi ter se lahko uporabi kot glavna strukturna komponenta nosilnih vrečk;</w:t>
      </w:r>
    </w:p>
    <w:p w14:paraId="722C1B3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17. „organsko recikliranje“: aerobna obdelava (kompostiranje) ali anaerobna obdelava (biometanizacija) biološko razgradljivih delov odpadne embalaže v nadzorovanih pogojih in z uporabo mikroorganizmov, pri čemer nastanejo stabilizirani organski ostanki ali metan.</w:t>
      </w:r>
      <w:r>
        <w:rPr>
          <w:color w:val="FF0000"/>
          <w:sz w:val="24"/>
        </w:rPr>
        <w:t xml:space="preserve"> </w:t>
      </w:r>
      <w:r>
        <w:rPr>
          <w:color w:val="FF0000"/>
          <w:sz w:val="24"/>
        </w:rPr>
        <w:t xml:space="preserve">Odlagališče se ne šteje kot oblika organskega recikliranja;</w:t>
      </w:r>
    </w:p>
    <w:p w14:paraId="211C3BAF" w14:textId="77777777" w:rsidR="000147DB" w:rsidRPr="00471E09" w:rsidRDefault="000147DB" w:rsidP="000147DB">
      <w:pPr>
        <w:autoSpaceDE w:val="0"/>
        <w:autoSpaceDN w:val="0"/>
        <w:adjustRightInd w:val="0"/>
        <w:spacing w:after="0"/>
        <w:jc w:val="both"/>
        <w:rPr>
          <w:color w:val="FF0000"/>
          <w:sz w:val="24"/>
          <w:szCs w:val="24"/>
          <w:rFonts w:eastAsia="Calibri" w:cs="TimesLTStd-Roman"/>
        </w:rPr>
      </w:pPr>
      <w:r>
        <w:rPr>
          <w:color w:val="FF0000"/>
          <w:sz w:val="24"/>
        </w:rPr>
        <w:t xml:space="preserve">18. „oseba, odgovorna za embalažo“: vsaka fizična ali pravna oseba s sedežem v Velikem vojvodstvu Luksemburg ali brez sedeža, ki poklicno daje pakirane proizvode na luksemburški trg, ne glede na uporabljeno prodajno tehniko, vključno s pogodbami na daljavo, kot so opredeljene v členu L. 222-1 Potrošniškega zakonika.</w:t>
      </w:r>
    </w:p>
    <w:p w14:paraId="532A7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Kar zadeva pakirno embalažo, je oseba, odgovorna za embalažo, vsaka oseba, ki poklicno in z namenom njenega dajanja na luksemburški trg, proizvaja ali uvaža pakirno embalažo;</w:t>
      </w:r>
    </w:p>
    <w:p w14:paraId="2066F35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19. „vrečke iz plastičnih materialov“ pomenijo nosilne vrečke, z ročaji ali brez, iz plastike, ki so na voljo potrošnikom na prodajnem mestu blaga ali proizvodov;</w:t>
      </w:r>
    </w:p>
    <w:p w14:paraId="2892A87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20. „lahke plastične nosilne vrečke“ pomenijo plastične vrečke z debelino stene manj kot 50 mikronov;</w:t>
      </w:r>
    </w:p>
    <w:p w14:paraId="1D560F90"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21. „zelo lahke plastične nosilne vrečke“ pomenijo plastične vrečke z debelino stene manj kot 15 mikronov,</w:t>
      </w:r>
    </w:p>
    <w:p w14:paraId="099FC67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ki so potrebne iz higienskih razlogov ali namenjene za primarno embalažo nepredpakiranih živil, če to prispeva k temu, da se zavrže manj hrane;</w:t>
      </w:r>
    </w:p>
    <w:p w14:paraId="518E14E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22. „okso-razgradljive plastične nosilne vrečke“: plastične vrečke, sestavljene iz plastičnih materialov, ki vsebujejo aditive, ki sprožijo razgradnjo plastičnega materiala v mikrodelce;</w:t>
      </w:r>
    </w:p>
    <w:p w14:paraId="3F38912D" w14:textId="7CDBAB0E"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23. „kavcijski sistem“: sistem vračanja, pri katerem kupec vplača znesek, ki se mu pri vračilu rabljene embalaže povrne;</w:t>
      </w:r>
    </w:p>
    <w:p w14:paraId="7826512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24. „stopnja tržnega deleža“: odstotek embalaže tekočih živil v določenem obdobju, dobljen na podlagi ulomka, pri katerem je števec prostornina tekočega živila, danega na trg, pakiranega v embalaži za ponovno uporabo in namenjenega za potrošnjo na nacionalnem ozemlju, imenovalec pa skupna prostornina tekočih živil, danih na trg in namenjenih za porabo na nacionalnem ozemlju;</w:t>
      </w:r>
    </w:p>
    <w:p w14:paraId="7104FF6A"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25. „stopnja recikliranja“: odstotek odpadne embalaže za določeno obdobje, dobljen na podlagi ulomka, pri katerem je števec teža odpadne embalaže, dokončno predane v recikliranje, imenovalec pa skupna teža embalaže, ki jo je mogoče predelati in jo na luksemburški trg daje oseba, odgovorna za embalažo, ter je namenjena za porabo na nacionalnem ozemlju.</w:t>
      </w:r>
    </w:p>
    <w:p w14:paraId="67C77E37"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Ta opredelitev ne zajema embalaže za ponovno uporabo v smislu tega zakona;</w:t>
      </w:r>
    </w:p>
    <w:p w14:paraId="6B41F5CB"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26. „stopnja predelave“: odstotek odpadne embalaže za določeno obdobje, dobljen na podlagi ulomka, pri katerem je števec teža odpadne embalaže, dokončno predane v recikliranje, imenovalec pa skupna teža embalaže, ki jo je mogoče predelati in jo na luksemburški trg daje oseba, odgovorna za embalažo, ter je namenjena za porabo na nacionalnem ozemlju.</w:t>
      </w:r>
    </w:p>
    <w:p w14:paraId="5C7F6993"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Ta opredelitev ne zajema embalaže za ponovno uporabo v smislu tega zakona;</w:t>
      </w:r>
    </w:p>
    <w:p w14:paraId="1F021DEC"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27. „energetska predelava“: uporaba gorljive odpadne embalaže kot sredstva za proizvajanje energije, z neposrednim sežiganjem z drugimi odpadki ali brez njih ter z rekuperacijo toplote.</w:t>
      </w:r>
    </w:p>
    <w:p w14:paraId="2F42A154"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LTStd-Roman"/>
        </w:rPr>
      </w:pPr>
      <w:r>
        <w:rPr>
          <w:color w:val="FF0000"/>
          <w:sz w:val="24"/>
        </w:rPr>
        <w:t xml:space="preserve">Ta opredelitev ne zajema embalaže za ponovno uporabo v smislu tega zakona.</w:t>
      </w:r>
    </w:p>
    <w:p w14:paraId="2A33EF0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Uporabljajo se opredelitve pojmov „odpadki“, „komunalni odpadki“, „gospodinjski komunalni odpadki“, „negospodinjski komunalni odpadki“, „ravnanje z odpadki“, „zbiranje“, „ločeno zbiranje“, „preprečevanje“, „ponovna uporaba“, „priprava za ponovno uporabo“, „obdelava“, „predelava“, „recikliranje“, „visokokakovostno recikliranje“, „odstranjevanje“, „center za vire“ in „sistem razširjene odgovornosti proizvajalca“ iz člena 4 zakona z dne 21. marca 2020.</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b/>
          <w:iCs/>
          <w:rFonts w:eastAsia="Times New Roman" w:cs="Arial"/>
        </w:rPr>
      </w:pPr>
      <w:r>
        <w:rPr>
          <w:b/>
        </w:rPr>
        <w:t xml:space="preserve">Člen 4.</w:t>
      </w:r>
      <w:r>
        <w:rPr>
          <w:b/>
        </w:rPr>
        <w:t xml:space="preserve"> </w:t>
      </w:r>
      <w:r>
        <w:rPr>
          <w:b/>
        </w:rPr>
        <w:t xml:space="preserve">Preprečevanje in ponovna uporaba ter okoljski sporazumi</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Minister lahko poleg ukrepov za preprečevanje nastajanja odpadne embalaže, sprejetih v skladu s členom 9, brez poseganja v odstavek 2 sklene okoljske sporazume, ki upoštevajo cilje, navedene v členu 1, in katerih cilj je zlasti zmanjšati vpliv embalaže na okolje in preprečiti nastajanje odpadne embalaže.</w:t>
      </w:r>
      <w:r>
        <w:rPr>
          <w:color w:val="FF0000"/>
          <w:sz w:val="24"/>
        </w:rPr>
        <w:t xml:space="preserve"> </w:t>
      </w:r>
      <w:r>
        <w:rPr>
          <w:color w:val="FF0000"/>
          <w:sz w:val="24"/>
        </w:rPr>
        <w:t xml:space="preserve">V teh sporazumih se lahko določijo kampanje obveščanja in ozaveščanja javnosti.</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 xml:space="preserve">Kar zadeva proizvodnjo embalaže in drugih proizvodov, lahko okoljski sporazumi spodbujajo uporabo materialov, pridobljenih iz reciklirane odpadne embalaže, z izboljšanjem tržnih pogojev za te materiale.</w:t>
      </w:r>
    </w:p>
    <w:p w14:paraId="4FAEAC4C" w14:textId="77777777" w:rsidR="000147DB" w:rsidRPr="003E7524" w:rsidRDefault="000147DB" w:rsidP="000147DB">
      <w:pPr>
        <w:spacing w:after="0" w:line="240" w:lineRule="auto"/>
        <w:jc w:val="both"/>
        <w:rPr>
          <w:rFonts w:eastAsia="Times New Roman" w:cs="Arial"/>
        </w:rPr>
      </w:pPr>
      <w:r>
        <w:t xml:space="preserve">Kar zadeva embalažo za tekoča živila in druge proizvode, se lahko v okoljskih sporazumih opredelijo pogoji in podrobna pravila za proizvodnjo in dajanje embalaže za ponovno uporabo na trg ter cilji glede stopenj tržnega deleža.</w:t>
      </w:r>
      <w:r>
        <w:t xml:space="preserve"> </w:t>
      </w:r>
      <w:r>
        <w:t xml:space="preserve">Ta zakon ne posega v ohranjanje ali vzpostavitev sistemov za zagotavljanje ponovne uporabe embalaže v obliki kavcijskega sistema ali drugi ustrezni obliki ter skladno s cilji iz člena 1.</w:t>
      </w:r>
    </w:p>
    <w:p w14:paraId="7B14AF7B" w14:textId="77777777" w:rsidR="000147DB" w:rsidRPr="003E7524" w:rsidRDefault="000147DB" w:rsidP="000147DB">
      <w:pPr>
        <w:spacing w:after="0" w:line="240" w:lineRule="auto"/>
        <w:jc w:val="both"/>
        <w:rPr>
          <w:rFonts w:eastAsia="Times New Roman" w:cs="Arial"/>
        </w:rPr>
      </w:pPr>
      <w:r>
        <w:t xml:space="preserve">(2) Drugi ukrepi za preprečevanje, vključno s študijami in pilotnimi projekti, se lahko določijo v nacionalnem načrtu za ravnanje z odpadki in po potrebi v posebnem načrtu na podlagi zakona z dne 21. marca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b/>
          <w:color w:val="FF0000"/>
          <w:sz w:val="24"/>
          <w:szCs w:val="24"/>
          <w:u w:val="single"/>
          <w:rFonts w:eastAsia="Calibri" w:cs="TimesNewRoman"/>
        </w:rPr>
      </w:pPr>
      <w:r>
        <w:rPr>
          <w:b/>
          <w:color w:val="FF0000"/>
          <w:sz w:val="24"/>
          <w:u w:val="single"/>
        </w:rPr>
        <w:t xml:space="preserve">Člen 5.</w:t>
      </w:r>
      <w:r>
        <w:rPr>
          <w:b/>
          <w:color w:val="FF0000"/>
          <w:sz w:val="24"/>
          <w:u w:val="single"/>
        </w:rPr>
        <w:t xml:space="preserve"> </w:t>
      </w:r>
      <w:r>
        <w:rPr>
          <w:b/>
          <w:color w:val="FF0000"/>
          <w:sz w:val="24"/>
          <w:u w:val="single"/>
        </w:rPr>
        <w:t xml:space="preserve">Zmanjšanje porabe embalaže</w:t>
      </w:r>
      <w:r>
        <w:rPr>
          <w:b/>
          <w:color w:val="FF0000"/>
          <w:sz w:val="24"/>
          <w:u w:val="single"/>
        </w:rPr>
        <w:t xml:space="preserve"> </w:t>
      </w:r>
    </w:p>
    <w:p w14:paraId="2D11A631"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rPr>
        <w:t xml:space="preserve">Za trajnostno zmanjšanje porabe embalaže na luksemburškem ozemlju:</w:t>
      </w:r>
    </w:p>
    <w:p w14:paraId="1921772D" w14:textId="2F6CC734" w:rsidR="000147DB" w:rsidRPr="00471E09" w:rsidRDefault="000147DB" w:rsidP="000147DB">
      <w:pPr>
        <w:pStyle w:val="Liste10"/>
        <w:spacing w:before="240"/>
        <w:ind w:left="360" w:hanging="427"/>
        <w:rPr>
          <w:color w:val="FF0000"/>
          <w:sz w:val="24"/>
          <w:szCs w:val="24"/>
          <w:rFonts w:cs="TimesNewRoman"/>
        </w:rPr>
      </w:pPr>
      <w:r>
        <w:rPr>
          <w:color w:val="FF0000"/>
          <w:sz w:val="24"/>
        </w:rPr>
        <w:t xml:space="preserve">1.</w:t>
      </w:r>
      <w:r>
        <w:rPr>
          <w:color w:val="FF0000"/>
          <w:sz w:val="24"/>
        </w:rPr>
        <w:tab/>
      </w:r>
      <w:r>
        <w:rPr>
          <w:color w:val="FF0000"/>
          <w:sz w:val="24"/>
        </w:rPr>
        <w:t xml:space="preserve">i) mora po 1. januarju 2022 vsak prodajalec na drobno pri prodaji svežega sadja in zelenjave iz Priloge III, vključno z olupljenim ali narezanim sadjem in zelenjavo, te proizvode dati na police brez embalaže, v celoti ali deloma izdelane iz plastike.</w:t>
      </w:r>
      <w:r>
        <w:rPr>
          <w:color w:val="FF0000"/>
          <w:sz w:val="24"/>
        </w:rPr>
        <w:t xml:space="preserve"> </w:t>
      </w:r>
      <w:r>
        <w:rPr>
          <w:color w:val="FF0000"/>
          <w:sz w:val="24"/>
        </w:rPr>
        <w:t xml:space="preserve">Ta obveznost ne velja za sadje in zelenjavo, pakirano v posameznih pošiljkah po 1,5 kilograma ali več;</w:t>
      </w:r>
      <w:r>
        <w:rPr>
          <w:color w:val="FF0000"/>
          <w:sz w:val="24"/>
        </w:rPr>
        <w:t xml:space="preserve">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color w:val="FF0000"/>
          <w:sz w:val="24"/>
          <w:szCs w:val="24"/>
          <w:rFonts w:eastAsia="Calibri" w:cs="TimesNewRoman"/>
        </w:rPr>
      </w:pPr>
      <w:r>
        <w:rPr>
          <w:color w:val="FF0000"/>
          <w:sz w:val="24"/>
        </w:rPr>
        <w:t xml:space="preserve">2. stopnja letne porabe lahkih plastičnih nosilnih vrečk od 31. decembra 2019 ne sme presegati devetdeset enot vrečk na osebo, od 31. decembra 2025 pa štirideset enot na osebo.</w:t>
      </w:r>
      <w:r>
        <w:rPr>
          <w:color w:val="FF0000"/>
          <w:sz w:val="24"/>
        </w:rPr>
        <w:t xml:space="preserve"> </w:t>
      </w:r>
      <w:r>
        <w:rPr>
          <w:color w:val="FF0000"/>
          <w:sz w:val="24"/>
        </w:rPr>
        <w:t xml:space="preserve">Zelo lahko plastične nosilne vrečke v smislu člena 3(5) so izključene;</w:t>
      </w:r>
    </w:p>
    <w:p w14:paraId="6F0972E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3. se nobena plastična vrečka na prodajnih mestih blaga ali proizvodov ne sme ponujati brezplačno.</w:t>
      </w:r>
      <w:r>
        <w:rPr>
          <w:color w:val="FF0000"/>
          <w:sz w:val="24"/>
        </w:rPr>
        <w:t xml:space="preserve"> </w:t>
      </w:r>
      <w:r>
        <w:rPr>
          <w:color w:val="FF0000"/>
          <w:sz w:val="24"/>
        </w:rPr>
        <w:t xml:space="preserve">Zelo lahko plastične nosilne vrečke v smislu člena 3(5) so izključene;</w:t>
      </w:r>
    </w:p>
    <w:p w14:paraId="58896EE4" w14:textId="77777777" w:rsidR="000147DB" w:rsidRPr="003E7524" w:rsidRDefault="000147DB" w:rsidP="002F5A31">
      <w:pPr>
        <w:keepNext/>
        <w:keepLines/>
        <w:spacing w:beforeLines="100" w:before="240" w:after="240" w:line="240" w:lineRule="auto"/>
        <w:jc w:val="both"/>
        <w:rPr>
          <w:color w:val="FF0000"/>
          <w:sz w:val="24"/>
          <w:szCs w:val="24"/>
          <w:rFonts w:cs="TimesNewRoman"/>
        </w:rPr>
      </w:pPr>
      <w:r>
        <w:rPr>
          <w:color w:val="FF0000"/>
          <w:sz w:val="24"/>
        </w:rPr>
        <w:t xml:space="preserve">4. se od spodaj navedenih datumov na prodajnih mestih blaga ali proizvodov ne sme brezplačno ponujati naslednja pakirna embalaža:</w:t>
      </w:r>
      <w:r>
        <w:rPr>
          <w:color w:val="FF0000"/>
          <w:sz w:val="24"/>
        </w:rPr>
        <w:t xml:space="preserve"> </w:t>
      </w:r>
    </w:p>
    <w:p w14:paraId="2B70078E"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rPr>
        <w:t xml:space="preserve">od 1. januarja 2023 vrečke, ne glede na sestavni material;</w:t>
      </w:r>
    </w:p>
    <w:p w14:paraId="03DEAD8E" w14:textId="77777777" w:rsidR="000147DB" w:rsidRPr="00471E09"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od 1. januarja 2024 pakirna embalaža proizvodov za enkratno uporabo iz dela A priloge k zakonu z dne [...] o oceni vpliva določenih plastičnih proizvodov na okolje, ne glede na sestavni material;</w:t>
      </w:r>
    </w:p>
    <w:p w14:paraId="10B4C155" w14:textId="77777777" w:rsidR="000147DB" w:rsidRPr="003E7524" w:rsidRDefault="000147DB" w:rsidP="000147DB">
      <w:pPr>
        <w:spacing w:beforeLines="100" w:before="240" w:after="240" w:line="240" w:lineRule="auto"/>
        <w:jc w:val="both"/>
        <w:rPr>
          <w:color w:val="FF0000"/>
          <w:sz w:val="24"/>
          <w:szCs w:val="24"/>
          <w:rFonts w:cs="TimesNewRoman"/>
        </w:rPr>
      </w:pPr>
      <w:r>
        <w:rPr>
          <w:color w:val="FF0000"/>
          <w:sz w:val="24"/>
        </w:rPr>
        <w:t xml:space="preserve">od 1. januarja 2025 vse vrste pakirne embalaže.</w:t>
      </w:r>
    </w:p>
    <w:p w14:paraId="01699BD2" w14:textId="77777777" w:rsidR="000147DB" w:rsidRPr="00471E09" w:rsidRDefault="000147DB" w:rsidP="000147DB">
      <w:pPr>
        <w:spacing w:beforeLines="100" w:before="240" w:after="240" w:line="240" w:lineRule="auto"/>
        <w:jc w:val="both"/>
        <w:rPr>
          <w:bCs/>
          <w:color w:val="FF0000"/>
          <w:sz w:val="24"/>
          <w:szCs w:val="24"/>
          <w:rFonts w:eastAsia="Calibri" w:cstheme="minorHAnsi"/>
        </w:rPr>
      </w:pPr>
      <w:r>
        <w:rPr>
          <w:color w:val="FF0000"/>
          <w:sz w:val="24"/>
        </w:rPr>
        <w:t xml:space="preserve">(2) Proizvodi iz točk 3 in 4 odstavka 1 morajo imeti ceno z odvračilnim učinkom, ki je ločeno in vidno nameščena na prodajnem mestu in računu.</w:t>
      </w:r>
      <w:r>
        <w:rPr>
          <w:color w:val="FF0000"/>
          <w:sz w:val="24"/>
        </w:rPr>
        <w:t xml:space="preserve"> </w:t>
      </w:r>
      <w:r>
        <w:rPr>
          <w:color w:val="FF0000"/>
          <w:sz w:val="24"/>
        </w:rPr>
        <w:t xml:space="preserve">Najmanjša cena se lahko določi v okoljskem sporazumu.</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color w:val="FF0000"/>
          <w:sz w:val="24"/>
          <w:szCs w:val="24"/>
          <w:u w:val="single"/>
          <w:rFonts w:eastAsia="Calibri" w:cs="TimesNewRoman"/>
        </w:rPr>
      </w:pPr>
      <w:r>
        <w:rPr>
          <w:color w:val="FF0000"/>
          <w:sz w:val="24"/>
          <w:u w:val="single"/>
        </w:rPr>
        <w:t xml:space="preserve">Člen 5a</w:t>
      </w:r>
      <w:r>
        <w:rPr>
          <w:color w:val="FF0000"/>
          <w:sz w:val="24"/>
          <w:u w:val="single"/>
        </w:rPr>
        <w:t xml:space="preserve">.</w:t>
      </w:r>
      <w:r>
        <w:rPr>
          <w:color w:val="FF0000"/>
          <w:sz w:val="24"/>
          <w:u w:val="single"/>
        </w:rPr>
        <w:t xml:space="preserve"> </w:t>
      </w:r>
      <w:r>
        <w:rPr>
          <w:color w:val="FF0000"/>
          <w:sz w:val="24"/>
          <w:u w:val="single"/>
        </w:rPr>
        <w:t xml:space="preserve">Ponovna uporaba</w:t>
      </w:r>
      <w:r>
        <w:rPr>
          <w:color w:val="FF0000"/>
          <w:sz w:val="24"/>
          <w:u w:val="single"/>
        </w:rPr>
        <w:t xml:space="preserve"> </w:t>
      </w:r>
    </w:p>
    <w:p w14:paraId="163598FA" w14:textId="77777777" w:rsidR="000147DB" w:rsidRPr="003E7524" w:rsidRDefault="000147DB" w:rsidP="000147DB">
      <w:pPr>
        <w:jc w:val="both"/>
        <w:rPr>
          <w:color w:val="FF0000"/>
          <w:sz w:val="24"/>
        </w:rPr>
      </w:pPr>
      <w:r>
        <w:rPr>
          <w:color w:val="FF0000"/>
          <w:sz w:val="24"/>
        </w:rPr>
        <w:t xml:space="preserve">Minister lahko v skladu s hierarhijo ravnanja z odpadki, določeno v členu 9 zakona z dne 21. marca 2012, sklene okoljske sporazume za spodbujanje večje uporabe embalaže za ponovno uporabo, dane na trg, in sistemov za ponovno uporabo okolju prijazne embalaže.</w:t>
      </w:r>
    </w:p>
    <w:p w14:paraId="213A7D6C" w14:textId="77777777" w:rsidR="000147DB" w:rsidRPr="003E7524" w:rsidRDefault="000147DB" w:rsidP="002F5A31">
      <w:pPr>
        <w:keepNext/>
        <w:keepLines/>
        <w:jc w:val="both"/>
        <w:rPr>
          <w:color w:val="FF0000"/>
          <w:sz w:val="24"/>
        </w:rPr>
      </w:pPr>
      <w:r>
        <w:rPr>
          <w:color w:val="FF0000"/>
          <w:sz w:val="24"/>
        </w:rPr>
        <w:t xml:space="preserve">Ti sporazumi lahko med drugim vključujejo:</w:t>
      </w:r>
      <w:r>
        <w:rPr>
          <w:color w:val="FF0000"/>
          <w:sz w:val="24"/>
        </w:rPr>
        <w:t xml:space="preserve"> </w:t>
      </w:r>
    </w:p>
    <w:p w14:paraId="5BEA6077" w14:textId="77777777" w:rsidR="000147DB" w:rsidRPr="003E7524" w:rsidRDefault="000147DB" w:rsidP="000147DB">
      <w:pPr>
        <w:jc w:val="both"/>
        <w:rPr>
          <w:color w:val="FF0000"/>
          <w:sz w:val="24"/>
        </w:rPr>
      </w:pPr>
      <w:r>
        <w:rPr>
          <w:color w:val="FF0000"/>
          <w:sz w:val="24"/>
        </w:rPr>
        <w:t xml:space="preserve">1. uporabo kavcijskih sistemov;</w:t>
      </w:r>
    </w:p>
    <w:p w14:paraId="498392F7" w14:textId="77777777" w:rsidR="000147DB" w:rsidRPr="003E7524" w:rsidRDefault="000147DB" w:rsidP="000147DB">
      <w:pPr>
        <w:jc w:val="both"/>
        <w:rPr>
          <w:color w:val="FF0000"/>
          <w:sz w:val="24"/>
        </w:rPr>
      </w:pPr>
      <w:r>
        <w:rPr>
          <w:color w:val="FF0000"/>
          <w:sz w:val="24"/>
        </w:rPr>
        <w:t xml:space="preserve">2. opredelitev kvalitativnih ali kvantitativnih ciljev;</w:t>
      </w:r>
    </w:p>
    <w:p w14:paraId="57A9F07C" w14:textId="77777777" w:rsidR="000147DB" w:rsidRPr="003E7524" w:rsidRDefault="000147DB" w:rsidP="000147DB">
      <w:pPr>
        <w:jc w:val="both"/>
        <w:rPr>
          <w:color w:val="FF0000"/>
          <w:sz w:val="24"/>
        </w:rPr>
      </w:pPr>
      <w:r>
        <w:rPr>
          <w:color w:val="FF0000"/>
          <w:sz w:val="24"/>
        </w:rPr>
        <w:t xml:space="preserve">3. izvajanje ukrepov za spodbujanje gospodarstva;</w:t>
      </w:r>
    </w:p>
    <w:p w14:paraId="2D7BAE53" w14:textId="77777777" w:rsidR="000147DB" w:rsidRPr="003E7524" w:rsidRDefault="000147DB" w:rsidP="000147DB">
      <w:pPr>
        <w:jc w:val="both"/>
        <w:rPr>
          <w:color w:val="FF0000"/>
          <w:sz w:val="24"/>
        </w:rPr>
      </w:pPr>
      <w:r>
        <w:rPr>
          <w:color w:val="FF0000"/>
          <w:sz w:val="24"/>
        </w:rPr>
        <w:t xml:space="preserve">4. opredelitev najmanjšega odstotka embalaže za ponovno uporabo, dane vsako leto na trg, za vsak tok embalaže.</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b/>
          <w:color w:val="FF0000"/>
          <w:sz w:val="24"/>
          <w:szCs w:val="24"/>
          <w:rFonts w:cs="TimesNewRoman"/>
        </w:rPr>
      </w:pPr>
      <w:r>
        <w:rPr>
          <w:color w:val="FF0000"/>
          <w:sz w:val="24"/>
          <w:u w:val="single"/>
        </w:rPr>
        <w:t xml:space="preserve">Člen 6.</w:t>
      </w:r>
      <w:r>
        <w:rPr>
          <w:color w:val="FF0000"/>
          <w:sz w:val="24"/>
          <w:u w:val="single"/>
        </w:rPr>
        <w:t xml:space="preserve"> </w:t>
      </w:r>
      <w:r>
        <w:rPr>
          <w:color w:val="FF0000"/>
          <w:sz w:val="24"/>
          <w:u w:val="single"/>
        </w:rPr>
        <w:t xml:space="preserve">Predelava in recikliranje</w:t>
      </w:r>
    </w:p>
    <w:p w14:paraId="6A7E88E7" w14:textId="77777777" w:rsidR="000147DB" w:rsidRPr="003E7524" w:rsidRDefault="000147DB" w:rsidP="002F5A31">
      <w:pPr>
        <w:pStyle w:val="Liste10"/>
        <w:keepNext/>
        <w:keepLines/>
        <w:spacing w:before="240"/>
        <w:rPr>
          <w:b/>
          <w:color w:val="FF0000"/>
          <w:sz w:val="24"/>
          <w:szCs w:val="24"/>
          <w:rFonts w:cs="TimesNewRoman"/>
        </w:rPr>
      </w:pPr>
      <w:r>
        <w:rPr>
          <w:color w:val="FF0000"/>
          <w:sz w:val="24"/>
        </w:rPr>
        <w:t xml:space="preserve">Osebe, odgovorne za embalažo, morajo izpolnjevati vsaj naslednje cilje:</w:t>
      </w:r>
      <w:r>
        <w:rPr>
          <w:color w:val="FF0000"/>
          <w:sz w:val="24"/>
        </w:rPr>
        <w:t xml:space="preserve"> </w:t>
      </w:r>
    </w:p>
    <w:p w14:paraId="135701C7" w14:textId="77777777" w:rsidR="000147DB" w:rsidRPr="003E7524" w:rsidRDefault="000147DB" w:rsidP="000147DB">
      <w:pPr>
        <w:pStyle w:val="Liste10"/>
        <w:spacing w:before="240"/>
        <w:rPr>
          <w:b/>
          <w:color w:val="FF0000"/>
          <w:sz w:val="24"/>
          <w:szCs w:val="24"/>
          <w:rFonts w:cs="TimesNewRoman"/>
        </w:rPr>
      </w:pPr>
      <w:r>
        <w:rPr>
          <w:color w:val="FF0000"/>
          <w:sz w:val="24"/>
        </w:rPr>
        <w:t xml:space="preserve">1) 65 mas. % odpadne embalaže se predela ali sežge v sežigalnicah za odpadke z energetsko predelavo;</w:t>
      </w:r>
    </w:p>
    <w:p w14:paraId="0BEBEC70" w14:textId="77777777" w:rsidR="000147DB" w:rsidRPr="003E7524" w:rsidRDefault="000147DB" w:rsidP="000147DB">
      <w:pPr>
        <w:pStyle w:val="Liste10"/>
        <w:spacing w:before="240"/>
        <w:rPr>
          <w:b/>
          <w:color w:val="FF0000"/>
          <w:sz w:val="24"/>
          <w:szCs w:val="24"/>
          <w:rFonts w:cs="TimesNewRoman"/>
        </w:rPr>
      </w:pPr>
      <w:r>
        <w:rPr>
          <w:color w:val="FF0000"/>
          <w:sz w:val="24"/>
        </w:rPr>
        <w:t xml:space="preserve">2) 60 mas. % odpadne embalaže se reciklira v skladu z naslednjimi minimalnimi cilji recikliranja materialov, ki jih vsebuje odpadna embalaža:</w:t>
      </w:r>
      <w:r>
        <w:rPr>
          <w:color w:val="FF0000"/>
          <w:sz w:val="24"/>
        </w:rPr>
        <w:t xml:space="preserve"> </w:t>
      </w:r>
      <w:r>
        <w:rPr>
          <w:color w:val="FF0000"/>
          <w:sz w:val="24"/>
        </w:rPr>
        <w:t xml:space="preserve">60 mas. % za steklo, 60 mas. % za papir in karton, 50 mas. % za kovine, 22,5 mas. % za plastiko, pri čemer se upoštevajo izključno materiali, ki se reciklirajo v obliki plastike, in 15 mas. % za les;</w:t>
      </w:r>
    </w:p>
    <w:p w14:paraId="74DA408D" w14:textId="77777777" w:rsidR="000147DB" w:rsidRPr="003E7524" w:rsidRDefault="000147DB" w:rsidP="000147DB">
      <w:pPr>
        <w:pStyle w:val="Liste10"/>
        <w:spacing w:before="240"/>
        <w:rPr>
          <w:b/>
          <w:color w:val="FF0000"/>
          <w:sz w:val="24"/>
          <w:szCs w:val="24"/>
          <w:rFonts w:cs="TimesNewRoman"/>
        </w:rPr>
      </w:pPr>
      <w:r>
        <w:rPr>
          <w:color w:val="FF0000"/>
          <w:sz w:val="24"/>
        </w:rPr>
        <w:t xml:space="preserve">3) najpozneje do 31. decembra 2025 se reciklira najmanj 65 mas. % vse odpadne embalaže;</w:t>
      </w:r>
    </w:p>
    <w:p w14:paraId="73EB6671" w14:textId="77777777" w:rsidR="000147DB" w:rsidRPr="003E7524" w:rsidRDefault="000147DB" w:rsidP="002F5A31">
      <w:pPr>
        <w:pStyle w:val="Liste10"/>
        <w:keepNext/>
        <w:keepLines/>
        <w:spacing w:before="240"/>
        <w:rPr>
          <w:b/>
          <w:color w:val="FF0000"/>
          <w:sz w:val="24"/>
          <w:szCs w:val="24"/>
          <w:rFonts w:cs="TimesNewRoman"/>
        </w:rPr>
      </w:pPr>
      <w:r>
        <w:rPr>
          <w:color w:val="FF0000"/>
          <w:sz w:val="24"/>
        </w:rPr>
        <w:t xml:space="preserve">4) najpozneje do 31. decembra 2025 je treba doseči minimalne cilje recikliranja naslednjih posebnih materialov, ki sestavljajo odpadno embalažo:</w:t>
      </w:r>
    </w:p>
    <w:p w14:paraId="28C5FBC2"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a) 50 mas. % za plastiko;</w:t>
      </w:r>
    </w:p>
    <w:p w14:paraId="4E57FAF2"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b) 25 mas. % za les;</w:t>
      </w:r>
    </w:p>
    <w:p w14:paraId="2042FBF8"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c) 70 mas. % za železne kovine;</w:t>
      </w:r>
    </w:p>
    <w:p w14:paraId="44C91BB4"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d) 50 mas. % za aluminij;</w:t>
      </w:r>
    </w:p>
    <w:p w14:paraId="7238B496"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e) 70 mas. % za steklo;</w:t>
      </w:r>
    </w:p>
    <w:p w14:paraId="0474C36D"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f) 75 mas. % za papir in karton;</w:t>
      </w:r>
    </w:p>
    <w:p w14:paraId="0E79D37D" w14:textId="77777777" w:rsidR="000147DB" w:rsidRPr="00471E09" w:rsidRDefault="000147DB" w:rsidP="000147DB">
      <w:pPr>
        <w:pStyle w:val="Liste10"/>
        <w:spacing w:before="240"/>
        <w:rPr>
          <w:color w:val="FF0000"/>
          <w:sz w:val="24"/>
          <w:szCs w:val="24"/>
          <w:rFonts w:cs="TimesNewRoman"/>
        </w:rPr>
      </w:pPr>
      <w:r>
        <w:rPr>
          <w:color w:val="FF0000"/>
          <w:sz w:val="24"/>
        </w:rPr>
        <w:t xml:space="preserve">5) najpozneje do 31. decembra 2030 je treba zagotoviti recikliranje najmanj 70 mas. % vse odpadne embalaže;</w:t>
      </w:r>
    </w:p>
    <w:p w14:paraId="72B3204C" w14:textId="77777777" w:rsidR="000147DB" w:rsidRPr="00471E09" w:rsidRDefault="000147DB" w:rsidP="002F5A31">
      <w:pPr>
        <w:pStyle w:val="Liste10"/>
        <w:keepNext/>
        <w:keepLines/>
        <w:spacing w:before="240"/>
        <w:rPr>
          <w:color w:val="FF0000"/>
          <w:sz w:val="24"/>
          <w:szCs w:val="24"/>
          <w:rFonts w:cs="TimesNewRoman"/>
        </w:rPr>
      </w:pPr>
      <w:r>
        <w:rPr>
          <w:color w:val="FF0000"/>
          <w:sz w:val="24"/>
        </w:rPr>
        <w:t xml:space="preserve">6) najpozneje do 31. decembra 2030 je treba doseči minimalne cilje recikliranja naslednjih posebnih materialov, ki sestavljajo odpadno embalažo:</w:t>
      </w:r>
    </w:p>
    <w:p w14:paraId="5CEB0529"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a) 55 mas. % za plastiko;</w:t>
      </w:r>
    </w:p>
    <w:p w14:paraId="3F31D1FB"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b) 30 mas. % za les;</w:t>
      </w:r>
    </w:p>
    <w:p w14:paraId="75516D16"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c) 80 mas. % za železne kovine;</w:t>
      </w:r>
    </w:p>
    <w:p w14:paraId="4FD2DC34"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d) 60 mas. % za aluminij;</w:t>
      </w:r>
    </w:p>
    <w:p w14:paraId="6756906E"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e) 75 mas. % za steklo;</w:t>
      </w:r>
    </w:p>
    <w:p w14:paraId="7EEFA81F" w14:textId="77777777" w:rsidR="000147DB" w:rsidRPr="003E7524" w:rsidRDefault="000147DB" w:rsidP="000147DB">
      <w:pPr>
        <w:pStyle w:val="Liste10"/>
        <w:spacing w:before="240"/>
        <w:ind w:left="851"/>
        <w:rPr>
          <w:b/>
          <w:color w:val="FF0000"/>
          <w:sz w:val="24"/>
          <w:szCs w:val="24"/>
          <w:rFonts w:cs="TimesNewRoman"/>
        </w:rPr>
      </w:pPr>
      <w:r>
        <w:rPr>
          <w:color w:val="FF0000"/>
          <w:sz w:val="24"/>
        </w:rPr>
        <w:t xml:space="preserve">f) 85 mas. % za papir in karton.</w:t>
      </w:r>
    </w:p>
    <w:p w14:paraId="4B119723" w14:textId="77777777" w:rsidR="000147DB" w:rsidRPr="00471E09" w:rsidRDefault="000147DB" w:rsidP="000147DB">
      <w:pPr>
        <w:pStyle w:val="Liste10"/>
        <w:spacing w:before="240"/>
        <w:rPr>
          <w:color w:val="FF0000"/>
          <w:sz w:val="24"/>
          <w:szCs w:val="24"/>
          <w:rFonts w:cs="TimesNewRoman"/>
        </w:rPr>
      </w:pPr>
      <w:r>
        <w:rPr>
          <w:color w:val="FF0000"/>
          <w:sz w:val="24"/>
        </w:rPr>
        <w:t xml:space="preserve">Uprava za okolje brez poseganja v člen 14 zagotovi, da so te obveznosti in cilji predmet kampanje obveščanja, namenjene širši javnosti in gospodarskim subjektom.</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u w:val="single"/>
        </w:rPr>
        <w:t xml:space="preserve">Člen 6a</w:t>
      </w:r>
      <w:r>
        <w:rPr>
          <w:color w:val="FF0000"/>
          <w:sz w:val="24"/>
          <w:u w:val="single"/>
        </w:rPr>
        <w:t xml:space="preserve">.</w:t>
      </w:r>
      <w:r>
        <w:rPr>
          <w:color w:val="FF0000"/>
          <w:sz w:val="24"/>
          <w:u w:val="single"/>
        </w:rPr>
        <w:t xml:space="preserve"> </w:t>
      </w:r>
      <w:r>
        <w:rPr>
          <w:color w:val="FF0000"/>
          <w:sz w:val="24"/>
          <w:u w:val="single"/>
        </w:rPr>
        <w:t xml:space="preserve">Pravila, ki se uporabljajo za izračun, namenjen ocenjevanju doseganja ciljev</w:t>
      </w:r>
    </w:p>
    <w:p w14:paraId="4190A464"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rPr>
        <w:t xml:space="preserve">(1) Za namene izračuna za določitev, ali so cilji iz točk 3 do 6 člena 6(1) doseženi:</w:t>
      </w:r>
    </w:p>
    <w:p w14:paraId="64FF6A17"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rPr>
        <w:t xml:space="preserve">1. se teža reciklirane odpadne embalaže proizvodov izračuna tekom danega koledarskega leta.</w:t>
      </w:r>
      <w:r>
        <w:rPr>
          <w:color w:val="FF0000"/>
          <w:sz w:val="24"/>
        </w:rPr>
        <w:t xml:space="preserve"> </w:t>
      </w:r>
      <w:r>
        <w:rPr>
          <w:color w:val="FF0000"/>
          <w:sz w:val="24"/>
        </w:rPr>
        <w:t xml:space="preserve">Količina odpadne embalaže proizvodov se lahko šteje kot enaka količini embalaže, dane na trg v zadevnem letu;</w:t>
      </w:r>
    </w:p>
    <w:p w14:paraId="3595E56C" w14:textId="77777777" w:rsidR="000147DB" w:rsidRPr="003E7524" w:rsidRDefault="000147DB" w:rsidP="000147DB">
      <w:pPr>
        <w:spacing w:beforeLines="100" w:before="240" w:after="240" w:line="240" w:lineRule="auto"/>
        <w:ind w:left="720"/>
        <w:jc w:val="both"/>
        <w:rPr>
          <w:color w:val="FF0000"/>
          <w:sz w:val="24"/>
          <w:szCs w:val="24"/>
          <w:rFonts w:eastAsia="Calibri" w:cs="TimesNewRoman"/>
        </w:rPr>
      </w:pPr>
      <w:r>
        <w:rPr>
          <w:color w:val="FF0000"/>
          <w:sz w:val="24"/>
        </w:rPr>
        <w:t xml:space="preserve">2. se teža reciklirane odpadne embalaže izračuna kot teža embalaže, ki postane odpadek in po vseh potrebnih kontrolnih postopkih, postopkih ločevanja in drugih predhodnih postopkih, potrebnih za odstranitev odpadkov, ki se ne obdelujejo s postopki naknadne ponovne obdelave, in zagotovitev visokokakovostnega recikliranja vstopijo v postopek recikliranja, v katerem se odpadki dokončno predelajo v proizvode, materiale ali snovi.</w:t>
      </w:r>
    </w:p>
    <w:p w14:paraId="528F3DBE"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(2) Za namene odstavka 1(1) se reciklirana odpadna embalaža stehta, ko odpadki vstopijo v postopek recikliranja.</w:t>
      </w:r>
    </w:p>
    <w:p w14:paraId="5C40963C" w14:textId="77777777" w:rsidR="000147DB" w:rsidRPr="003E7524" w:rsidRDefault="000147DB" w:rsidP="002F5A31">
      <w:pPr>
        <w:keepNext/>
        <w:keepLines/>
        <w:spacing w:beforeLines="100" w:before="240" w:after="240" w:line="240" w:lineRule="auto"/>
        <w:jc w:val="both"/>
        <w:rPr>
          <w:color w:val="FF0000"/>
          <w:sz w:val="24"/>
          <w:szCs w:val="24"/>
          <w:rFonts w:eastAsia="Calibri" w:cs="TimesNewRoman"/>
        </w:rPr>
      </w:pPr>
      <w:r>
        <w:rPr>
          <w:color w:val="FF0000"/>
          <w:sz w:val="24"/>
        </w:rPr>
        <w:t xml:space="preserve">Z odstopanjem od prvega pododstavka se lahko reciklirana odpadna embalaža stehta ob izhodu iz vsakega postopka sortiranja pod pogojem, da:</w:t>
      </w:r>
    </w:p>
    <w:p w14:paraId="34D0716F"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rPr>
        <w:t xml:space="preserve">1. se takšni izhodni odpadki po postopku sortiranja reciklirajo;</w:t>
      </w:r>
    </w:p>
    <w:p w14:paraId="3B9C8FE8" w14:textId="77777777" w:rsidR="000147DB" w:rsidRPr="003E7524" w:rsidRDefault="000147DB" w:rsidP="000147DB">
      <w:pPr>
        <w:spacing w:beforeLines="100" w:before="240" w:after="240" w:line="240" w:lineRule="auto"/>
        <w:ind w:left="851"/>
        <w:jc w:val="both"/>
        <w:rPr>
          <w:color w:val="FF0000"/>
          <w:sz w:val="24"/>
          <w:szCs w:val="24"/>
          <w:rFonts w:eastAsia="Calibri" w:cs="TimesNewRoman"/>
        </w:rPr>
      </w:pPr>
      <w:r>
        <w:rPr>
          <w:color w:val="FF0000"/>
          <w:sz w:val="24"/>
        </w:rPr>
        <w:t xml:space="preserve">2. se masa materialov ali snovi, ki se odstranijo v nadaljnjih postopkih pred postopkom recikliranja in se nato ne reciklirajo, ne vključi v maso odpadkov, ki se poročajo kot reciklirani.</w:t>
      </w:r>
    </w:p>
    <w:p w14:paraId="0049964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(3) Da se zagotovi upoštevanje pravil izračuna in ustrezno posredovanje vseh informacij pristojnemu organu, se vzpostavi elektronski register v skladu s členom 34 zakona z dne 21. marca 2012.</w:t>
      </w:r>
      <w:r>
        <w:rPr>
          <w:color w:val="FF0000"/>
          <w:sz w:val="24"/>
        </w:rPr>
        <w:t xml:space="preserve"> </w:t>
      </w:r>
    </w:p>
    <w:p w14:paraId="22177B03"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(4) Količina odpadne embalaže, ki po pripravljalnem postopku pred predelavo preneha biti odpadki, se lahko šteje za reciklirano pod pogojem, da so zadevni materiali namenjeni nadaljnji ponovni predelavi v proizvode, materiale ali snovi, ki se bodo uporabljale za prvotni namen ali druge namene.</w:t>
      </w:r>
      <w:r>
        <w:rPr>
          <w:color w:val="FF0000"/>
          <w:sz w:val="24"/>
        </w:rPr>
        <w:t xml:space="preserve"> </w:t>
      </w:r>
      <w:r>
        <w:rPr>
          <w:color w:val="FF0000"/>
          <w:sz w:val="24"/>
        </w:rPr>
        <w:t xml:space="preserve">Vendar se materiali, ki niso več odpadki in bodo uporabljeni kot gorivo ali druga sredstva za pridobivanje energije ali bodo sežgani, uporabljeni za zasipanje ali odloženi na odlagališčih, ne upoštevajo pri doseganju ciljev recikliranja.</w:t>
      </w:r>
    </w:p>
    <w:p w14:paraId="79D6EBAB"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(5) Za namene izračuna, ali so bili cilji iz točk 3 do 6 člena 6(1) doseženi, lahko Uprava</w:t>
      </w:r>
      <w:r>
        <w:rPr>
          <w:color w:val="FF0000"/>
          <w:sz w:val="24"/>
          <w:sz w:val="24"/>
          <w:sz w:val="24"/>
        </w:rPr>
        <w:t xml:space="preserve"> za okolje upošteva tudi recikliranje kovin, izločenih po sežigu odpadkov, sorazmerno s količino sežgane odpadne embalaže in pod pogojem, da reciklirane kovine izpolnjujejo določena merila kakovosti, določena v izvedbenem aktu, sprejetem na podlagi člena 11a(9)</w:t>
      </w:r>
      <w:r>
        <w:rPr>
          <w:color w:val="FF0000"/>
          <w:sz w:val="24"/>
          <w:sz w:val="24"/>
          <w:sz w:val="24"/>
        </w:rPr>
        <w:t xml:space="preserve"> </w:t>
      </w:r>
      <w:r>
        <w:rPr>
          <w:color w:val="FF0000"/>
          <w:sz w:val="24"/>
          <w:sz w:val="24"/>
        </w:rPr>
        <w:t xml:space="preserve">Direktive 2008/98/ES.</w:t>
      </w:r>
    </w:p>
    <w:p w14:paraId="451BF595"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(6) Odpadna embalaža, poslana v drugo državo članico Evropske unije za namene recikliranja v tej drugi državi članici, se upošteva pri doseganju ciljev, določenih v točkah 3 do 6 člena 6(1), v Luksemburgu.</w:t>
      </w:r>
    </w:p>
    <w:p w14:paraId="5CA935B6"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(7) Odpadna embalaža, izvožena iz Evropske unije, se upošteva pri izračunu za oceno doseganja ciljev, določenih členu 6(1), samo, če so izpolnjeni pogoji iz odstavka 3 in če v skladu z Uredbo (ES) št. 1013/2006 Evropskega parlamenta in Sveta z dne 14. junija 2006 o pošiljkah odpadkov izvoznik lahko dokaže, da pošiljka odpadkov izpolnjuje zahteve iz navedene uredbe in da se obdelava odpadne embalaže zunaj Evropske unije izvaja pod pogoji, ki so na splošno enakovredni veljavnim zahtevam iz okoljske zakonodaje.</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color w:val="FF0000"/>
          <w:sz w:val="24"/>
          <w:szCs w:val="24"/>
          <w:rFonts w:eastAsia="Calibri" w:cs="TimesNewRoman"/>
        </w:rPr>
      </w:pPr>
      <w:r>
        <w:rPr>
          <w:color w:val="FF0000"/>
          <w:sz w:val="24"/>
          <w:u w:val="single"/>
        </w:rPr>
        <w:t xml:space="preserve">Člen 7.</w:t>
      </w:r>
      <w:r>
        <w:rPr>
          <w:color w:val="FF0000"/>
          <w:sz w:val="24"/>
          <w:u w:val="single"/>
        </w:rPr>
        <w:t xml:space="preserve"> </w:t>
      </w:r>
      <w:r>
        <w:rPr>
          <w:color w:val="FF0000"/>
          <w:sz w:val="24"/>
          <w:u w:val="single"/>
        </w:rPr>
        <w:t xml:space="preserve">Sistemi za vračanje, zbiranje in predelavo</w:t>
      </w:r>
    </w:p>
    <w:p w14:paraId="3CFE162E"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(1) Z namenom doseganja ciljev iz člena 1 in v skladu z odstavkom 2 morajo osebe, odgovorne za embalažo, ob upoštevanju higienskih predpisov zagotoviti:</w:t>
      </w:r>
    </w:p>
    <w:p w14:paraId="7AA5AC5D"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rPr>
        <w:t xml:space="preserve">1. vračanje ali zbiranje rabljene embalaže ali odpadne embalaže od potrošnikov, drugih končnih uporabnikov ali toka odpadkov z namenom usmeritve te embalaže k najprimernejšim oblikam ravnanja z odpadki;</w:t>
      </w:r>
    </w:p>
    <w:p w14:paraId="40D25AD4" w14:textId="77777777" w:rsidR="000147DB" w:rsidRPr="003E7524" w:rsidRDefault="000147DB" w:rsidP="000147DB">
      <w:pPr>
        <w:shd w:val="clear" w:color="auto" w:fill="FFFFFF"/>
        <w:spacing w:before="100" w:beforeAutospacing="1" w:after="0" w:line="240" w:lineRule="auto"/>
        <w:ind w:left="720"/>
        <w:jc w:val="both"/>
        <w:rPr>
          <w:color w:val="FF0000"/>
          <w:sz w:val="24"/>
          <w:szCs w:val="24"/>
          <w:rFonts w:eastAsia="Calibri" w:cs="TimesNewRoman"/>
        </w:rPr>
      </w:pPr>
      <w:r>
        <w:rPr>
          <w:color w:val="FF0000"/>
          <w:sz w:val="24"/>
        </w:rPr>
        <w:t xml:space="preserve">2. ponovno uporabo, pripravo za ponovno uporabo ali predelavo, vključno z recikliranjem, embalažo ali zbrano odpadno embalažo.</w:t>
      </w:r>
    </w:p>
    <w:p w14:paraId="60F35859"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V te sisteme se lahko vključijo vsi gospodarski subjekti iz zadevnih sektorjev in pristojni javni organi.</w:t>
      </w:r>
      <w:r>
        <w:rPr>
          <w:color w:val="FF0000"/>
          <w:sz w:val="24"/>
        </w:rPr>
        <w:t xml:space="preserve"> </w:t>
      </w:r>
      <w:r>
        <w:rPr>
          <w:color w:val="FF0000"/>
          <w:sz w:val="24"/>
        </w:rPr>
        <w:t xml:space="preserve">Nediskriminatorno se uporabljajo tudi za uvožene proizvode, vključno s podrobnimi pravili in cenami za dostop do teh sistemov, in so zasnovani tako, da ne pride do ovir pri trgovanju ali izkrivljanja konkurence.</w:t>
      </w:r>
    </w:p>
    <w:p w14:paraId="7291264C"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(2) Da bi odpadno embalažo v obliki komunalnih odpadkov v največji možni meri zmanjšali in dosegli višjo stopnjo ločenega zbiranja odpadne embalaže, se uporabljajo naslednje določbe:</w:t>
      </w:r>
    </w:p>
    <w:p w14:paraId="457714E4"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a) Gospodinjska odpadna embalaža</w:t>
      </w:r>
    </w:p>
    <w:p w14:paraId="04693C3C"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rPr>
        <w:t xml:space="preserve">Brez poseganja v obveznosti občin ali združenj občin, odgovornih za ravnanje s gospodinjskimi komunalnimi odpadki v okviru zakona z dne 21. marca 2012, morajo občine ali združenja občin zagotoviti razpoložljivost sistemov ločenega zbiranja.</w:t>
      </w:r>
      <w:r>
        <w:rPr>
          <w:color w:val="FF0000"/>
          <w:sz w:val="24"/>
        </w:rPr>
        <w:t xml:space="preserve"> </w:t>
      </w:r>
      <w:r>
        <w:rPr>
          <w:color w:val="FF0000"/>
          <w:sz w:val="24"/>
        </w:rPr>
        <w:t xml:space="preserve">Občine ali združenja občin morajo po potrebi v sodelovanju s pooblaščenimi organi zagotoviti razpoložljivost javne infrastrukture za ločeno zbiranje gospodinjske odpadne embalaže, ki končnim lastnikom omogoča vsaj brezplačno poročanje o tej odpadni embalaži.</w:t>
      </w:r>
    </w:p>
    <w:p w14:paraId="54386F43" w14:textId="77777777" w:rsidR="000147DB" w:rsidRPr="003E7524" w:rsidRDefault="000147DB" w:rsidP="000147DB">
      <w:pPr>
        <w:spacing w:before="200" w:after="85" w:line="240" w:lineRule="auto"/>
        <w:ind w:left="375"/>
        <w:jc w:val="both"/>
        <w:rPr>
          <w:color w:val="FF0000"/>
          <w:sz w:val="24"/>
          <w:szCs w:val="24"/>
          <w:rFonts w:eastAsia="Calibri" w:cs="TimesNewRoman"/>
        </w:rPr>
      </w:pPr>
      <w:r>
        <w:rPr>
          <w:color w:val="FF0000"/>
          <w:sz w:val="24"/>
        </w:rPr>
        <w:t xml:space="preserve">Pooblaščeni organi lahko organizirajo in uporabljajo nadomestne ali dopolnjujoče sisteme za vračanje gospodinjske odpadne embalaže pod pogojem, da so ti sistemi skladni s cilji iz tega zakona ter zagotavljajo enako teritorialno pokritost kot sistemi, ki jih vzpostavijo občine ali združenja občin, in vsaj brezplačno vračanje gospodinjske odpadne embalaže.</w:t>
      </w:r>
    </w:p>
    <w:p w14:paraId="1411304A"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rPr>
        <w:t xml:space="preserve">Uporabniki gospodinjske embalaže morajo uporabljati sisteme za vračanje in ločeno zbiranje gospodinjske odpadne embalaže, ki jim jih zagotavljajo občine ali združenja občin ali pooblaščeni organi.</w:t>
      </w:r>
    </w:p>
    <w:p w14:paraId="72763D47"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b) Negospodinjska odpadna embalaža</w:t>
      </w:r>
    </w:p>
    <w:p w14:paraId="3D19C80D" w14:textId="77777777" w:rsidR="000147DB" w:rsidRPr="003E7524" w:rsidRDefault="000147DB" w:rsidP="000147DB">
      <w:pPr>
        <w:shd w:val="clear" w:color="auto" w:fill="FFFFFF"/>
        <w:spacing w:before="100" w:beforeAutospacing="1" w:after="0" w:line="240" w:lineRule="auto"/>
        <w:ind w:left="375"/>
        <w:jc w:val="both"/>
        <w:rPr>
          <w:color w:val="FF0000"/>
          <w:sz w:val="24"/>
          <w:szCs w:val="24"/>
          <w:rFonts w:eastAsia="Calibri" w:cs="TimesNewRoman"/>
        </w:rPr>
      </w:pPr>
      <w:r>
        <w:rPr>
          <w:color w:val="FF0000"/>
          <w:sz w:val="24"/>
        </w:rPr>
        <w:t xml:space="preserve">Osebe, odgovorne za negospodinjsko embalažo, zagotovijo zbiranje in predelavo teh odpadkov v okviru sistema razširjene odgovornosti proizvajalca iz člena 8 tega zakona.</w:t>
      </w:r>
    </w:p>
    <w:p w14:paraId="211C6CEC" w14:textId="165B29C7" w:rsidR="000147DB" w:rsidRPr="00471E09"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(3) Ustanove ali podjetja iz člena 30(1) </w:t>
      </w:r>
      <w:hyperlink r:id="rId4" w:history="1">
        <w:r>
          <w:rPr>
            <w:color w:val="FF0000"/>
            <w:sz w:val="24"/>
          </w:rPr>
          <w:t xml:space="preserve">zakona z dne 21. marca 2012</w:t>
        </w:r>
      </w:hyperlink>
      <w:r>
        <w:rPr>
          <w:color w:val="FF0000"/>
          <w:sz w:val="24"/>
        </w:rPr>
        <w:t xml:space="preserve"> lahko odpadno embalažo, ki sestavlja gospodinjske odpadke, zbirajo ali prevažajo samo, če jih v ta namen pooblastijo pooblaščeni organi.</w:t>
      </w:r>
    </w:p>
    <w:p w14:paraId="5A8B572D" w14:textId="03908A6C"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 </w:t>
      </w:r>
      <w:r>
        <w:rPr>
          <w:color w:val="FF0000"/>
          <w:sz w:val="24"/>
        </w:rPr>
        <w:t xml:space="preserve">(4) Za embalažo pijač, namenjenih za prehrano ljudi, ki je dana na luksemburški trg, se uporablja enotni nacionalni kavcijski sistem.</w:t>
      </w:r>
      <w:r>
        <w:rPr>
          <w:color w:val="FF0000"/>
          <w:sz w:val="24"/>
        </w:rPr>
        <w:t xml:space="preserve"> </w:t>
      </w:r>
      <w:r>
        <w:rPr>
          <w:color w:val="FF0000"/>
          <w:sz w:val="24"/>
        </w:rPr>
        <w:t xml:space="preserve">Znesek kavcije je odvisen od vrste embalaže in znaša od 0,1 do 1 EUR.</w:t>
      </w:r>
      <w:r>
        <w:rPr>
          <w:color w:val="FF0000"/>
          <w:sz w:val="24"/>
        </w:rPr>
        <w:t xml:space="preserve"> </w:t>
      </w:r>
      <w:r>
        <w:rPr>
          <w:color w:val="FF0000"/>
          <w:sz w:val="24"/>
        </w:rPr>
        <w:t xml:space="preserve">Datum in podrobna pravila za uporabo kavcijskega sistema se opredelijo v uredbi Velikega vojvodstva.</w:t>
      </w:r>
      <w:r>
        <w:rPr>
          <w:color w:val="FF0000"/>
          <w:sz w:val="24"/>
        </w:rPr>
        <w:t xml:space="preserve">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Člen </w:t>
      </w:r>
      <w:r>
        <w:rPr>
          <w:color w:val="FF0000"/>
          <w:sz w:val="24"/>
          <w:u w:val="single"/>
        </w:rPr>
        <w:t xml:space="preserve">8.</w:t>
      </w:r>
      <w:r>
        <w:rPr>
          <w:color w:val="FF0000"/>
          <w:sz w:val="24"/>
          <w:u w:val="single"/>
        </w:rPr>
        <w:t xml:space="preserve"> </w:t>
      </w:r>
      <w:r>
        <w:rPr>
          <w:color w:val="FF0000"/>
          <w:sz w:val="24"/>
          <w:u w:val="single"/>
        </w:rPr>
        <w:t xml:space="preserve">Osebe, odgovorne za embalažo, in pooblaščeni organi</w:t>
      </w:r>
    </w:p>
    <w:p w14:paraId="4ADADA8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(1) Da bi oseba, odgovorna za embalažo, izpolnjevala obveznosti, ki so ji naložene v okviru tega zakona, in obveznosti na podlagi zakona o oceni vplivov nekaterih plastičnih proizvodov na okolje, mora upoštevati sistem razširjene odgovornosti proizvajalca iz člena 19 zakona z dne 21. marca 2012.</w:t>
      </w:r>
      <w:r>
        <w:rPr>
          <w:color w:val="FF0000"/>
          <w:sz w:val="24"/>
        </w:rPr>
        <w:t xml:space="preserve"> </w:t>
      </w:r>
    </w:p>
    <w:p w14:paraId="48FF4710"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V primeru gospodinjske embalaže za ponovno uporabo, za katero obstaja sistem vračanja, lahko ta oseba izpolnjevanje te obveznosti v celoti ali deloma pogodbeno naloži pooblaščenemu organu.</w:t>
      </w:r>
      <w:r>
        <w:rPr>
          <w:color w:val="FF0000"/>
          <w:sz w:val="24"/>
        </w:rPr>
        <w:t xml:space="preserve"> </w:t>
      </w:r>
      <w:r>
        <w:rPr>
          <w:color w:val="FF0000"/>
          <w:sz w:val="24"/>
        </w:rPr>
        <w:t xml:space="preserve">Za ostalo gospodinjsko embalažo mora izpolnjevanje te obveznosti pogodbeno naložiti pooblaščenemu organu.</w:t>
      </w:r>
      <w:r>
        <w:rPr>
          <w:color w:val="FF0000"/>
          <w:sz w:val="24"/>
        </w:rPr>
        <w:t xml:space="preserve"> </w:t>
      </w:r>
      <w:r>
        <w:rPr>
          <w:color w:val="FF0000"/>
          <w:sz w:val="24"/>
        </w:rPr>
        <w:t xml:space="preserve">Za negospodinjsko embalažo mora izpolnjevanje te obveznosti v celoti ali deloma naložiti pooblaščenemu organu.</w:t>
      </w:r>
      <w:r>
        <w:rPr>
          <w:color w:val="FF0000"/>
          <w:sz w:val="24"/>
        </w:rPr>
        <w:t xml:space="preserve"> </w:t>
      </w:r>
    </w:p>
    <w:p w14:paraId="0456039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(2) Za odpadno embalažo, s katero se ravna v okviru centraliziranega upravljanja, pooblaščeni organi vsak v skladu s svojimi pristojnostmi zagotovijo financiranje ravnanja z odpadki, vključno s postopki priprave za ponovno uporabo, vse od zbirnega centra za prostovoljno zbiranje.</w:t>
      </w:r>
    </w:p>
    <w:p w14:paraId="72D5467E"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Za odpadno embalažo, ki ne sodi v okvir centraliziranega upravljanja, se podrobna pravila finančnega prispevka pooblaščenih organov pri ločenem zbiranju teh odpadkov določijo s skupnim sporazumom, sklenjenim med temi organi in zadevnimi občinami.</w:t>
      </w:r>
      <w:r>
        <w:rPr>
          <w:color w:val="FF0000"/>
          <w:sz w:val="24"/>
        </w:rPr>
        <w:t xml:space="preserve"> </w:t>
      </w:r>
      <w:r>
        <w:rPr>
          <w:color w:val="FF0000"/>
          <w:sz w:val="24"/>
        </w:rPr>
        <w:t xml:space="preserve">Vse stroške ravnanja z odpadki, vključno s stroški postopkov priprave za ponovno uporabo, je treba kriti s prispevki oseb, odgovornih za embalažo.</w:t>
      </w:r>
    </w:p>
    <w:p w14:paraId="7AFE5345" w14:textId="77777777" w:rsidR="000147DB" w:rsidRPr="003E7524" w:rsidRDefault="000147DB" w:rsidP="002F5A31">
      <w:pPr>
        <w:keepNext/>
        <w:keepLines/>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(3) Poleg tega mora pooblaščeni organ:</w:t>
      </w:r>
    </w:p>
    <w:p w14:paraId="09CD75E1"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1. izračunati kotizacije svojih pogodbenikov z namenom financiranja stroškov obstoječega in prihodnjega zbiranja, sortiranja odpadkov zbrane embalaže, postopkov priprave za ponovno uporabo, obdelavo odpadne embalaže, obveščanja imetnikov odpadkov ter posredovanja in zbiranja informacij.</w:t>
      </w:r>
      <w:r>
        <w:rPr>
          <w:color w:val="FF0000"/>
          <w:sz w:val="24"/>
        </w:rPr>
        <w:t xml:space="preserve"> </w:t>
      </w:r>
      <w:r>
        <w:rPr>
          <w:color w:val="FF0000"/>
          <w:sz w:val="24"/>
        </w:rPr>
        <w:t xml:space="preserve">Upoštevani stroški ne smejo presegati stroškov, potrebnih za stroškovno učinkovito storitev;</w:t>
      </w:r>
    </w:p>
    <w:p w14:paraId="2A2FFD4D"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2. z občinami ali združenji občin, odgovornimi za ravnanje z gospodinjskimi komunalnimi odpadki, skleniti pogodbo, ki določa zlasti pogoje in tehnična pravila glede zbiranja zadevne odpadne embalaže ter prevzema odgovornosti za odpadno embalažo.</w:t>
      </w:r>
      <w:r>
        <w:rPr>
          <w:color w:val="FF0000"/>
          <w:sz w:val="24"/>
        </w:rPr>
        <w:t xml:space="preserve"> </w:t>
      </w:r>
    </w:p>
    <w:p w14:paraId="0E152E2B" w14:textId="77777777" w:rsidR="000147DB" w:rsidRPr="003E7524" w:rsidRDefault="000147DB" w:rsidP="000147DB">
      <w:pPr>
        <w:shd w:val="clear" w:color="auto" w:fill="FFFFFF"/>
        <w:spacing w:before="100" w:beforeAutospacing="1" w:after="0" w:line="240" w:lineRule="auto"/>
        <w:jc w:val="both"/>
        <w:rPr>
          <w:color w:val="FF0000"/>
          <w:sz w:val="24"/>
          <w:szCs w:val="24"/>
          <w:rFonts w:eastAsia="Calibri" w:cs="TimesNewRoman"/>
        </w:rPr>
      </w:pPr>
      <w:r>
        <w:rPr>
          <w:color w:val="FF0000"/>
          <w:sz w:val="24"/>
        </w:rPr>
        <w:t xml:space="preserve">Pogodba nikakor ne sme posegati v pristojnosti občin ali združenj občin, odgovornih za ravnanje z zadevnimi gospodinjskimi komunalnimi odpadki;</w:t>
      </w:r>
    </w:p>
    <w:p w14:paraId="5D98EE21"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3. ministru vsako leto in v okviru poročila iz člena 35(2) zakona z dne 21. marca 2012 posredovati pogodbe, sklenjene z občinami ali združenji občin, odgovornimi za ravnanje z gospodinjskimi komunalnimi odpadki.</w:t>
      </w:r>
      <w:r>
        <w:rPr>
          <w:color w:val="FF0000"/>
          <w:sz w:val="24"/>
        </w:rPr>
        <w:t xml:space="preserve"> </w:t>
      </w:r>
    </w:p>
    <w:p w14:paraId="4EF43EE8" w14:textId="77777777"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(4) Z odpadki je treba ravnati ob upoštevanju hierarhije ravnanja z odpadki iz člena 9 zakona z dne 21. marca 2012.</w:t>
      </w:r>
      <w:r>
        <w:rPr>
          <w:color w:val="FF0000"/>
          <w:sz w:val="24"/>
        </w:rPr>
        <w:t xml:space="preserve">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rPr>
        <w:t xml:space="preserve">Člen 9.</w:t>
      </w:r>
      <w:r>
        <w:rPr>
          <w:b/>
        </w:rPr>
        <w:t xml:space="preserve"> </w:t>
      </w:r>
      <w:r>
        <w:rPr>
          <w:b/>
        </w:rPr>
        <w:t xml:space="preserve">Osnovne zahteve</w:t>
      </w:r>
    </w:p>
    <w:p w14:paraId="605864EB" w14:textId="77777777" w:rsidR="000147DB" w:rsidRPr="003E7524" w:rsidRDefault="000147DB" w:rsidP="000147DB">
      <w:pPr>
        <w:spacing w:after="0" w:line="240" w:lineRule="auto"/>
        <w:jc w:val="both"/>
        <w:rPr>
          <w:rFonts w:eastAsia="Times New Roman" w:cs="Arial"/>
        </w:rPr>
      </w:pPr>
      <w:r>
        <w:t xml:space="preserve">Embalaža se lahko daje na luksemburški trg samo, če izpolnjuje osnovne zahteve iz Priloge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b/>
          <w:bCs/>
          <w:iCs/>
          <w:rFonts w:eastAsia="Times New Roman" w:cs="Arial"/>
        </w:rPr>
      </w:pPr>
      <w:r>
        <w:rPr>
          <w:b/>
        </w:rPr>
        <w:t xml:space="preserve">Člen 10.</w:t>
      </w:r>
      <w:r>
        <w:rPr>
          <w:b/>
        </w:rPr>
        <w:t xml:space="preserve"> </w:t>
      </w:r>
      <w:r>
        <w:rPr>
          <w:b/>
        </w:rPr>
        <w:t xml:space="preserve">Sistem prepoznavanja</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color w:val="FF0000"/>
          <w:sz w:val="24"/>
          <w:szCs w:val="24"/>
          <w:rFonts w:eastAsia="Calibri" w:cs="TimesNewRoman"/>
        </w:rPr>
      </w:pPr>
      <w:r>
        <w:rPr>
          <w:color w:val="FF0000"/>
          <w:sz w:val="24"/>
        </w:rPr>
        <w:t xml:space="preserve">(1) Zaradi lažjega zbiranja, ponovne uporabe, priprave za ponovno uporabo in predelave, vključno z recikliranjem, se na embalaži navede vrsta embalažnega materiala ali embalažnih materialov, da se omogoči prepoznavanje in razvrščanje v zadevnem sektorju na podlagi Odločbe Komisije z dne 28. januarja 1997 o določitvi sistema prepoznavanja embalažnih materialov v skladu z Direktivo Evropskega parlamenta in Sveta 94/62/ES o embalaži in odpadni embalaži (97/129/ES).</w:t>
      </w:r>
      <w:r>
        <w:rPr>
          <w:color w:val="FF0000"/>
          <w:sz w:val="24"/>
        </w:rPr>
        <w:t xml:space="preserve">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 xml:space="preserve">(2) Če se to zahteva, se ustrezna oznaka namesti na sami embalaži ali etiketi.</w:t>
      </w:r>
      <w:r>
        <w:t xml:space="preserve"> </w:t>
      </w:r>
      <w:r>
        <w:t xml:space="preserve">Oznake morajo biti vidne in čitljive.</w:t>
      </w:r>
      <w:r>
        <w:t xml:space="preserve"> </w:t>
      </w:r>
      <w:r>
        <w:t xml:space="preserve">Na oznakah mora biti naveden ustrezen rok uporabnosti, tudi ko je embalaža odprta.</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b/>
          <w:color w:val="000000"/>
          <w:rFonts w:eastAsia="Times New Roman" w:cs="Arial"/>
        </w:rPr>
      </w:pPr>
      <w:r>
        <w:rPr>
          <w:b/>
          <w:color w:val="000000"/>
        </w:rPr>
        <w:t xml:space="preserve">Člen 11.</w:t>
      </w:r>
      <w:r>
        <w:rPr>
          <w:b/>
          <w:color w:val="000000"/>
        </w:rPr>
        <w:t xml:space="preserve"> </w:t>
      </w:r>
      <w:r>
        <w:rPr>
          <w:b/>
          <w:color w:val="000000"/>
        </w:rPr>
        <w:t xml:space="preserve">Stopnja koncentracije težkih kovin v embalaži</w:t>
      </w:r>
    </w:p>
    <w:p w14:paraId="5961C7DD" w14:textId="77777777" w:rsidR="000147DB" w:rsidRPr="003E7524" w:rsidRDefault="000147DB" w:rsidP="000147DB">
      <w:pPr>
        <w:spacing w:after="0" w:line="240" w:lineRule="auto"/>
        <w:jc w:val="both"/>
        <w:rPr>
          <w:color w:val="000000"/>
          <w:rFonts w:eastAsia="Times New Roman" w:cs="Arial"/>
        </w:rPr>
      </w:pPr>
      <w:r>
        <w:rPr>
          <w:color w:val="000000"/>
        </w:rPr>
        <w:t xml:space="preserve">(1) Skupna stopnja koncentracije svinca, kadmija, srebra in šestvalentnega kroma v embalaži ali njenih elementih ne sme presegati 100 ppm teže.</w:t>
      </w:r>
    </w:p>
    <w:p w14:paraId="173D4287" w14:textId="77777777" w:rsidR="000147DB" w:rsidRPr="003E7524" w:rsidRDefault="000147DB" w:rsidP="000147DB">
      <w:pPr>
        <w:spacing w:after="0" w:line="240" w:lineRule="auto"/>
        <w:jc w:val="both"/>
        <w:rPr>
          <w:color w:val="000000"/>
          <w:rFonts w:eastAsia="Times New Roman" w:cs="Arial"/>
        </w:rPr>
      </w:pPr>
      <w:r>
        <w:rPr>
          <w:color w:val="000000"/>
        </w:rPr>
        <w:t xml:space="preserve">(2) Stopnje koncentracije iz odstavka 1 se ne uporabljajo za embalažo, v celoti sestavljeno iz kristalnega stekla.</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b/>
          <w:rFonts w:eastAsia="Times New Roman" w:cs="Arial"/>
        </w:rPr>
      </w:pPr>
      <w:r>
        <w:rPr>
          <w:b/>
        </w:rPr>
        <w:t xml:space="preserve">Člen 12.</w:t>
      </w:r>
      <w:r>
        <w:rPr>
          <w:b/>
        </w:rPr>
        <w:t xml:space="preserve"> </w:t>
      </w:r>
      <w:r>
        <w:rPr>
          <w:b/>
        </w:rPr>
        <w:t xml:space="preserve">Sistemi obveščanja</w:t>
      </w:r>
    </w:p>
    <w:p w14:paraId="5FCE099A" w14:textId="77777777" w:rsidR="000147DB" w:rsidRPr="003E7524" w:rsidRDefault="000147DB" w:rsidP="000147DB">
      <w:pPr>
        <w:spacing w:after="0" w:line="240" w:lineRule="auto"/>
        <w:jc w:val="both"/>
        <w:rPr>
          <w:rFonts w:eastAsia="Times New Roman" w:cs="Arial"/>
        </w:rPr>
      </w:pPr>
      <w:r>
        <w:t xml:space="preserve">(1) Zbirke podatkov iz Priloge III k Direktivi 94/62/ES Evropskega parlamenta in Sveta z dne 20. decembra 1994 o embalaži in odpadni embalaži, kakor je bila spremenjena z delegiranimi akti Evropske komisije, sprejetimi v skladu s členom 19 navedene direktive, upravlja Uprava za okolje.</w:t>
      </w:r>
      <w:r>
        <w:t xml:space="preserve"> </w:t>
      </w:r>
      <w:r>
        <w:t xml:space="preserve">Te zbirke vsebujejo podatke o obsegu, značilnostih in spreminjanju toka embalaže in odpadne embalaže, vključno z informacijami o toksičnosti ali nevarnosti odpadnih materialov in elementov, ki se uporabljajo za njihovo izdelavo.</w:t>
      </w:r>
    </w:p>
    <w:p w14:paraId="7E5340DE" w14:textId="77777777" w:rsidR="000147DB" w:rsidRPr="003E7524" w:rsidRDefault="000147DB" w:rsidP="000147DB">
      <w:pPr>
        <w:spacing w:after="0" w:line="240" w:lineRule="auto"/>
        <w:jc w:val="both"/>
        <w:rPr>
          <w:rFonts w:eastAsia="Times New Roman" w:cs="Arial"/>
        </w:rPr>
      </w:pPr>
      <w:r>
        <w:t xml:space="preserve">(2) Zadevni gospodarski subjekti morajo Upravi za okolje zagotoviti zanesljive podatke o svojem sektorju, ki se zahtevajo na podlagi tega člena.</w:t>
      </w:r>
      <w:r>
        <w:t xml:space="preserve"> </w:t>
      </w:r>
      <w:r>
        <w:t xml:space="preserve">Uprava za okolje pri zagotavljanju podrobnih podatkov upošteva posebne težave, s katerimi se morajo soočati mala in srednja podjetja.</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t xml:space="preserve">Člen 14.</w:t>
      </w:r>
      <w:r>
        <w:rPr>
          <w:b/>
        </w:rPr>
        <w:t xml:space="preserve"> </w:t>
      </w:r>
      <w:r>
        <w:rPr>
          <w:b/>
        </w:rPr>
        <w:t xml:space="preserve">Informacije za uporabnike embalaže</w:t>
      </w:r>
    </w:p>
    <w:p w14:paraId="0BFAA0F4" w14:textId="77777777" w:rsidR="000147DB" w:rsidRPr="003E7524" w:rsidRDefault="000147DB" w:rsidP="000147DB">
      <w:pPr>
        <w:spacing w:after="0" w:line="240" w:lineRule="auto"/>
        <w:jc w:val="both"/>
        <w:rPr>
          <w:rFonts w:eastAsia="Times New Roman" w:cs="Arial"/>
        </w:rPr>
      </w:pPr>
      <w:r>
        <w:t xml:space="preserve">(1) Osebe, odgovorne za embalažo, ali pooblaščeni organi morajo vsak v skladu s svojimi pristojnostmi uporabnike embalaže, vključno s potrošniki, obveščati o:</w:t>
      </w:r>
    </w:p>
    <w:p w14:paraId="28FD57E8" w14:textId="77777777" w:rsidR="000147DB" w:rsidRPr="003E7524" w:rsidRDefault="000147DB" w:rsidP="000147DB">
      <w:pPr>
        <w:spacing w:after="0" w:line="240" w:lineRule="auto"/>
        <w:jc w:val="both"/>
        <w:rPr>
          <w:rFonts w:eastAsia="Times New Roman" w:cs="Arial"/>
        </w:rPr>
      </w:pPr>
      <w:r>
        <w:t xml:space="preserve">možnostih preprečevanja nastajanja odpadne embalaže;</w:t>
      </w:r>
    </w:p>
    <w:p w14:paraId="1A222528" w14:textId="77777777" w:rsidR="000147DB" w:rsidRPr="003E7524" w:rsidRDefault="000147DB" w:rsidP="000147DB">
      <w:pPr>
        <w:spacing w:after="0" w:line="240" w:lineRule="auto"/>
        <w:jc w:val="both"/>
        <w:rPr>
          <w:rFonts w:eastAsia="Times New Roman" w:cs="Arial"/>
        </w:rPr>
      </w:pPr>
      <w:r>
        <w:t xml:space="preserve">sistemih vračanja, zbiranja in predelave, ki so jim na razpolago, ter njihovem prispevku k ponovni uporabi, predelavi in recikliranju embalaže in odpadne embalaže;</w:t>
      </w:r>
    </w:p>
    <w:p w14:paraId="2AF81E67" w14:textId="77777777" w:rsidR="000147DB" w:rsidRPr="003E7524" w:rsidRDefault="000147DB" w:rsidP="000147DB">
      <w:pPr>
        <w:spacing w:after="0" w:line="240" w:lineRule="auto"/>
        <w:jc w:val="both"/>
        <w:rPr>
          <w:rFonts w:eastAsia="Times New Roman" w:cs="Arial"/>
        </w:rPr>
      </w:pPr>
      <w:r>
        <w:t xml:space="preserve">škodljivih učinkih prekomerne porabe plastičnih vrečk na okolje;</w:t>
      </w:r>
    </w:p>
    <w:p w14:paraId="0BB30D5B" w14:textId="77777777" w:rsidR="000147DB" w:rsidRPr="003E7524" w:rsidRDefault="000147DB" w:rsidP="000147DB">
      <w:pPr>
        <w:spacing w:after="0" w:line="240" w:lineRule="auto"/>
        <w:jc w:val="both"/>
        <w:rPr>
          <w:rFonts w:eastAsia="Times New Roman" w:cs="Arial"/>
        </w:rPr>
      </w:pPr>
      <w:r>
        <w:t xml:space="preserve">ustreznih elementih iz načrtov ravnanja z embalažo in odpadno embalažo, ki so bodisi del nacionalnega načrta za ravnanje z odpadki bodisi predmet posebnega načrta na podlagi zakona z dne 21. marca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 xml:space="preserve">(2) Osebe, ki dajejo embalirane proizvode v prodajo, zagotovijo, da je končni potrošnik na prodajnih mestih ustrezno obveščen o možnosti ponovne uporabe ali predelave embalaže, vključno z recikliranjem, in sistemu za vračanje, zlasti sistemu za zbiranje embalaže.</w:t>
      </w:r>
    </w:p>
    <w:p w14:paraId="049AF44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Ustrezne oznake se namestijo bodisi na samo embalažo bodisi na etiketo.</w:t>
      </w:r>
      <w:r>
        <w:rPr>
          <w:color w:val="FF0000"/>
          <w:sz w:val="24"/>
        </w:rPr>
        <w:t xml:space="preserve"> </w:t>
      </w:r>
      <w:r>
        <w:rPr>
          <w:color w:val="FF0000"/>
          <w:sz w:val="24"/>
        </w:rPr>
        <w:t xml:space="preserve">Oznake morajo biti vidne in čitljive.</w:t>
      </w:r>
      <w:r>
        <w:rPr>
          <w:color w:val="FF0000"/>
          <w:sz w:val="24"/>
        </w:rPr>
        <w:t xml:space="preserve"> </w:t>
      </w:r>
      <w:r>
        <w:rPr>
          <w:color w:val="FF0000"/>
          <w:sz w:val="24"/>
        </w:rPr>
        <w:t xml:space="preserve">Na oznakah mora biti naveden ustrezen rok uporabnosti, tudi ko je embalaža odprta.</w:t>
      </w:r>
      <w:r>
        <w:rPr>
          <w:color w:val="FF0000"/>
          <w:sz w:val="24"/>
        </w:rPr>
        <w:t xml:space="preserve">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 xml:space="preserve">(3) Ukrepi za obveščanje iz odstavkov 1 in 2 se po potrebi dopolnijo s kampanjami ozaveščanja, ki se izvajajo v sodelovanju z Upravo za okolje.</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color w:val="FF0000"/>
          <w:sz w:val="24"/>
          <w:szCs w:val="24"/>
          <w:rFonts w:eastAsia="Calibri" w:cs="TimesNewRoman"/>
        </w:rPr>
      </w:pPr>
      <w:r>
        <w:rPr>
          <w:color w:val="FF0000"/>
          <w:sz w:val="24"/>
          <w:u w:val="single"/>
        </w:rPr>
        <w:t xml:space="preserve">Člen 15.</w:t>
      </w:r>
      <w:r>
        <w:rPr>
          <w:color w:val="FF0000"/>
          <w:sz w:val="24"/>
          <w:u w:val="single"/>
        </w:rPr>
        <w:t xml:space="preserve"> </w:t>
      </w:r>
      <w:r>
        <w:rPr>
          <w:color w:val="FF0000"/>
          <w:sz w:val="24"/>
          <w:u w:val="single"/>
        </w:rPr>
        <w:t xml:space="preserve">Poročila</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Vsaka oseba, odgovorna za embalažo, ki daje plastične vrečke na trg, mora pooblaščenemu organu, s katerim je podpisala pogodbo, sporočiti letno količino teh vrečk.</w:t>
      </w:r>
      <w:r>
        <w:rPr>
          <w:color w:val="FF0000"/>
          <w:sz w:val="24"/>
        </w:rPr>
        <w:t xml:space="preserve"> </w:t>
      </w:r>
    </w:p>
    <w:p w14:paraId="7B36C2F6" w14:textId="203BBF9C"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Pooblaščeni organ mora o teh količinah poročati pristojni upravi v okviru poročila iz člena 35(2) zakona z dne 21. marca 2012.</w:t>
      </w:r>
      <w:r>
        <w:rPr>
          <w:color w:val="FF0000"/>
          <w:sz w:val="24"/>
        </w:rPr>
        <w:t xml:space="preserve"> </w:t>
      </w:r>
      <w:r>
        <w:rPr>
          <w:color w:val="FF0000"/>
          <w:sz w:val="24"/>
        </w:rPr>
        <w:t xml:space="preserve">Zelo lahke plastične nosilne vrečke v smislu člena 3(17) so iz poročila izključene.</w:t>
      </w:r>
      <w:r>
        <w:rPr>
          <w:color w:val="FF0000"/>
          <w:sz w:val="24"/>
        </w:rPr>
        <w:t xml:space="preserve">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b/>
          <w:rFonts w:eastAsia="Times New Roman" w:cs="Arial"/>
        </w:rPr>
      </w:pPr>
      <w:r>
        <w:rPr>
          <w:b/>
        </w:rPr>
        <w:t xml:space="preserve">Člen 16.</w:t>
      </w:r>
      <w:r>
        <w:rPr>
          <w:b/>
        </w:rPr>
        <w:t xml:space="preserve"> </w:t>
      </w:r>
      <w:r>
        <w:rPr>
          <w:b/>
        </w:rPr>
        <w:t xml:space="preserve">Pregledi, ki jih je treba izvesti</w:t>
      </w:r>
      <w:r>
        <w:rPr>
          <w:b/>
        </w:rPr>
        <w:t xml:space="preserve"> </w:t>
      </w:r>
    </w:p>
    <w:p w14:paraId="035D85BE" w14:textId="77777777" w:rsidR="000147DB" w:rsidRPr="003E7524" w:rsidRDefault="000147DB" w:rsidP="000147DB">
      <w:pPr>
        <w:spacing w:after="0" w:line="240" w:lineRule="auto"/>
        <w:jc w:val="both"/>
        <w:rPr>
          <w:rFonts w:eastAsia="Times New Roman" w:cs="Arial"/>
        </w:rPr>
      </w:pPr>
      <w:r>
        <w:t xml:space="preserve">(1) Letno poročilo se preverja v skladu z določbami iz člena 35(2) zakona z dne 21. marca 2012.</w:t>
      </w:r>
    </w:p>
    <w:p w14:paraId="35E08884" w14:textId="77777777" w:rsidR="000147DB" w:rsidRPr="003E7524" w:rsidRDefault="000147DB" w:rsidP="000147DB">
      <w:pPr>
        <w:spacing w:after="0" w:line="240" w:lineRule="auto"/>
        <w:jc w:val="both"/>
        <w:rPr>
          <w:rFonts w:eastAsia="Times New Roman" w:cs="Arial"/>
        </w:rPr>
      </w:pPr>
      <w:r>
        <w:t xml:space="preserve">Za namene pregleda morajo osebe, odgovorne za embalažo, ali pooblaščeni organi pooblaščenemu revizorju podjetja zagotoviti vsa dokazila, računovodske izkaze, druge dokumente ter elemente izračuna, ki so se uporabljali kot osnova teh poročil.</w:t>
      </w:r>
    </w:p>
    <w:p w14:paraId="01E1F62A" w14:textId="77777777" w:rsidR="000147DB" w:rsidRPr="003E7524" w:rsidRDefault="000147DB" w:rsidP="000147DB">
      <w:pPr>
        <w:spacing w:after="0" w:line="240" w:lineRule="auto"/>
        <w:jc w:val="both"/>
        <w:rPr>
          <w:rFonts w:eastAsia="Times New Roman" w:cs="Arial"/>
        </w:rPr>
      </w:pPr>
      <w:r>
        <w:t xml:space="preserve">Plačilo pooblaščenega revizorja podjetja morajo izvršiti osebe, odgovorne za embalažo, ali pooblaščeni organ oziroma pooblaščeni organi.</w:t>
      </w:r>
    </w:p>
    <w:p w14:paraId="54AD644D" w14:textId="77777777" w:rsidR="000147DB" w:rsidRPr="003E7524" w:rsidRDefault="000147DB" w:rsidP="000147DB">
      <w:pPr>
        <w:spacing w:after="0" w:line="240" w:lineRule="auto"/>
        <w:jc w:val="both"/>
        <w:rPr>
          <w:rFonts w:eastAsia="Times New Roman" w:cs="Arial"/>
        </w:rPr>
      </w:pPr>
      <w:r>
        <w:t xml:space="preserve">(2) Rezultate pregleda, ki ga izvede pooblaščeni revizor podjetja, mora revizor podjetij nemudoma posredovati Upravi za okolje.</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u w:val="single"/>
        </w:rPr>
        <w:t xml:space="preserve">Člen 17.</w:t>
      </w:r>
      <w:r>
        <w:rPr>
          <w:color w:val="FF0000"/>
          <w:sz w:val="24"/>
          <w:u w:val="single"/>
        </w:rPr>
        <w:t xml:space="preserve"> </w:t>
      </w:r>
      <w:r>
        <w:rPr>
          <w:color w:val="FF0000"/>
          <w:sz w:val="24"/>
          <w:u w:val="single"/>
        </w:rPr>
        <w:t xml:space="preserve">Preiskava in ugotavljanje kršitev</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(1) Poleg članov policije Velikega vojvodstva iz policijskega kadra lahko preiskave in postopke za ugotavljanje kršitev iz tega zakona in uredb, sprejetih za njegovo izvajanje, izvajajo tudi uslužbenci Uprave za carine in trošarine s činom glavnega brigadirja in višjimi stopnjami ter funkcionarji in zaposleni v skupinah za obdelavo A1, A2 in B1 Uprave za okolje.</w:t>
      </w:r>
    </w:p>
    <w:p w14:paraId="5A9972ED"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Uslužbenci Uprave za carine in trošarine ter uslužbenci Uprave za okolje pri izvajanju svoje funkcije opravljajo poklic uradnika sodne policije.</w:t>
      </w:r>
      <w:r>
        <w:rPr>
          <w:color w:val="FF0000"/>
          <w:sz w:val="24"/>
        </w:rPr>
        <w:t xml:space="preserve"> </w:t>
      </w:r>
      <w:r>
        <w:rPr>
          <w:color w:val="FF0000"/>
          <w:sz w:val="24"/>
        </w:rPr>
        <w:t xml:space="preserve">Kršitve ugotavljajo z zapisniki, ki se obravnavajo kot dokaz, dokler se ne dokaže drugače.</w:t>
      </w:r>
    </w:p>
    <w:p w14:paraId="4BDACC6F"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(2) Uslužbenci iz odstavka 1 morajo opraviti posebno poklicno usposabljanje v zvezi s preiskavami in ugotavljanjem kršitev.</w:t>
      </w:r>
      <w:r>
        <w:rPr>
          <w:color w:val="FF0000"/>
          <w:sz w:val="24"/>
        </w:rPr>
        <w:t xml:space="preserve"> </w:t>
      </w:r>
      <w:r>
        <w:rPr>
          <w:color w:val="FF0000"/>
          <w:sz w:val="24"/>
        </w:rPr>
        <w:t xml:space="preserve">Program in trajanje usposabljanja ter podrobna pravila glede preverjanja znanja se določijo v uredbi Velikega vojvodstva.</w:t>
      </w:r>
    </w:p>
    <w:p w14:paraId="23E18C1A"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rPr>
        <w:t xml:space="preserve">Uslužbenci pred začetkom opravljanja funkcije prisežejo pred okrožnim sodiščem v Luksemburgu, ki odloča o civilnih zadevah, z naslednjo prisego:</w:t>
      </w:r>
    </w:p>
    <w:p w14:paraId="1EC889C1"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„Prisegam, da bom svoje funkcije opravljal pošteno, točno in nepristransko.</w:t>
      </w:r>
      <w:r>
        <w:rPr>
          <w:color w:val="FF0000"/>
          <w:sz w:val="24"/>
        </w:rPr>
        <w:t xml:space="preserve"> </w:t>
      </w:r>
      <w:r>
        <w:rPr>
          <w:color w:val="FF0000"/>
          <w:sz w:val="24"/>
        </w:rPr>
        <w:t xml:space="preserve">“</w:t>
      </w:r>
    </w:p>
    <w:p w14:paraId="0E596F7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Uporablja se člen 458 Kazenskega zakonika.</w:t>
      </w:r>
      <w:r>
        <w:rPr>
          <w:color w:val="FF0000"/>
          <w:sz w:val="24"/>
        </w:rPr>
        <w:t xml:space="preserve">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color w:val="FF0000"/>
          <w:sz w:val="24"/>
          <w:szCs w:val="24"/>
          <w:rFonts w:ascii="Calibri" w:eastAsia="Calibri" w:hAnsi="Calibri" w:cs="Times New Roman"/>
        </w:rPr>
      </w:pPr>
      <w:r>
        <w:rPr>
          <w:color w:val="FF0000"/>
          <w:sz w:val="24"/>
          <w:u w:val="single"/>
          <w:rFonts w:ascii="Calibri" w:hAnsi="Calibri"/>
        </w:rPr>
        <w:t xml:space="preserve">Člen 18.</w:t>
      </w:r>
      <w:r>
        <w:rPr>
          <w:color w:val="FF0000"/>
          <w:sz w:val="24"/>
          <w:u w:val="single"/>
          <w:rFonts w:ascii="Calibri" w:hAnsi="Calibri"/>
        </w:rPr>
        <w:t xml:space="preserve"> </w:t>
      </w:r>
      <w:r>
        <w:rPr>
          <w:color w:val="FF0000"/>
          <w:sz w:val="24"/>
          <w:u w:val="single"/>
          <w:rFonts w:ascii="Calibri" w:hAnsi="Calibri"/>
        </w:rPr>
        <w:t xml:space="preserve">Pooblastila in posebne pravice glede izvajanja nadzora</w:t>
      </w:r>
    </w:p>
    <w:p w14:paraId="16422B7B"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(1) Osebe iz člena 17 lahko podnevi in ponoči brez predhodnega obvestila dostopajo do obratov, prostorov, zemljišč, opreme in prevoznih sredstev, za katere se uporablja ta zakon in uredbe, sprejete za njegovo izvajanje.</w:t>
      </w:r>
      <w:r>
        <w:rPr>
          <w:color w:val="FF0000"/>
          <w:sz w:val="24"/>
          <w:rFonts w:ascii="Calibri" w:hAnsi="Calibri"/>
        </w:rPr>
        <w:t xml:space="preserve"> </w:t>
      </w:r>
    </w:p>
    <w:p w14:paraId="038ADE3C" w14:textId="4CBD0E56"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(2) Določbe iz odstavka 1 se ne uporabljajo za bivanjske prostore.</w:t>
      </w:r>
    </w:p>
    <w:p w14:paraId="017C6164"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Vendar lahko uradnik sodne policije, član policije Velikega vojvodstva ali uradnik v smislu člena 45, ki deluje na podlagi pooblastila preiskovalnega sodnika, brez poseganja v člen 33(1) Kazenskega zakonika in pod pogojem, da obstajajo trdni dokazi, da je izvor kršitve v bivanjskih prostorih, med 6.30 in polnočjo opravi hišno preiskavo.</w:t>
      </w:r>
    </w:p>
    <w:p w14:paraId="1BB0F8A5" w14:textId="77777777" w:rsidR="000147DB" w:rsidRPr="003E7524" w:rsidRDefault="000147DB" w:rsidP="00B972B3">
      <w:pPr>
        <w:keepNext/>
        <w:keepLines/>
        <w:jc w:val="both"/>
        <w:rPr>
          <w:color w:val="FF0000"/>
          <w:sz w:val="24"/>
          <w:szCs w:val="24"/>
          <w:rFonts w:ascii="Calibri" w:eastAsia="Calibri" w:hAnsi="Calibri" w:cs="Times New Roman"/>
        </w:rPr>
      </w:pPr>
      <w:r>
        <w:rPr>
          <w:color w:val="FF0000"/>
          <w:sz w:val="24"/>
          <w:rFonts w:ascii="Calibri" w:hAnsi="Calibri"/>
        </w:rPr>
        <w:t xml:space="preserve">(3) Zadevni uradniki lahko pri izvajanju pristojnosti iz odstavkov 1 in 2:</w:t>
      </w:r>
    </w:p>
    <w:p w14:paraId="6F3F9813"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1. pridobijo vse vknjižbe in dokumente v zvezi z embalažo in odpadno embalažo iz tega zakona;</w:t>
      </w:r>
    </w:p>
    <w:p w14:paraId="75B9F6D7" w14:textId="5E96EE24"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2. za namene preiskave ali analize odvzamejo ali omogočijo odvzem vzorca embalaže in odpadne embalaže iz tega zakona.</w:t>
      </w:r>
      <w:r>
        <w:rPr>
          <w:color w:val="FF0000"/>
          <w:sz w:val="24"/>
          <w:rFonts w:ascii="Calibri" w:hAnsi="Calibri"/>
        </w:rPr>
        <w:t xml:space="preserve"> </w:t>
      </w:r>
      <w:r>
        <w:rPr>
          <w:color w:val="FF0000"/>
          <w:sz w:val="24"/>
          <w:rFonts w:ascii="Calibri" w:hAnsi="Calibri"/>
        </w:rPr>
        <w:t xml:space="preserve">Del vzorca, ožigosanega ali zapečatenega, se predloži upravljavcu obrata, kraja odlagališča ali prevoznega sredstva ali samemu imetniku, razen če se zadevna oseba temu izrecno odreče ali da to ni mogoče zaradi tehničnih razlogov;</w:t>
      </w:r>
    </w:p>
    <w:p w14:paraId="7A3F87EB" w14:textId="3B7EC98F"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3. zasežejo in po potrebi zapečatijo embalažo in odpadno embalažo iz tega zakona ter zadevne vknjižbe in dokumente.</w:t>
      </w:r>
    </w:p>
    <w:p w14:paraId="724E3F46"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(4) Vsaka oseba, ki je predmet ukrepov iz odstavka 3, kot tudi osebe, ki jo nadomeščajo, morajo na prošnjo uradnikov, odgovornih za te ukrepe, olajšati izvedbo postopkov, ki jih morajo izvesti uradniki.</w:t>
      </w:r>
    </w:p>
    <w:p w14:paraId="3EDE58D7"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Osebe iz prejšnjega pododstavka lahko sodelujejo pri teh postopkih.</w:t>
      </w:r>
    </w:p>
    <w:p w14:paraId="7303060C"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(5) Izdela se zapisnik o ugotovitvah in postopkih.</w:t>
      </w:r>
    </w:p>
    <w:p w14:paraId="560BE14F" w14:textId="77777777" w:rsidR="000147DB" w:rsidRPr="003E7524" w:rsidRDefault="000147DB" w:rsidP="000147DB">
      <w:pPr>
        <w:jc w:val="both"/>
        <w:rPr>
          <w:color w:val="FF0000"/>
          <w:sz w:val="24"/>
          <w:szCs w:val="24"/>
          <w:rFonts w:ascii="Calibri" w:eastAsia="Calibri" w:hAnsi="Calibri" w:cs="Times New Roman"/>
        </w:rPr>
      </w:pPr>
      <w:r>
        <w:rPr>
          <w:color w:val="FF0000"/>
          <w:sz w:val="24"/>
          <w:rFonts w:ascii="Calibri" w:hAnsi="Calibri"/>
        </w:rPr>
        <w:t xml:space="preserve">(6) Stroški, nastali pri izvajanju ukrepov iz tega člena, so vključeni v sodne stroške in so odvisni od izida sodnega postopka.</w:t>
      </w:r>
      <w:r>
        <w:rPr>
          <w:color w:val="FF0000"/>
          <w:sz w:val="24"/>
          <w:rFonts w:ascii="Calibri" w:hAnsi="Calibri"/>
        </w:rPr>
        <w:t xml:space="preserve">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color w:val="FF0000"/>
          <w:sz w:val="24"/>
          <w:szCs w:val="24"/>
          <w:u w:val="single"/>
          <w:rFonts w:eastAsia="Calibri" w:cs="TimesNewRoman"/>
        </w:rPr>
      </w:pPr>
      <w:r>
        <w:rPr>
          <w:color w:val="FF0000"/>
          <w:sz w:val="24"/>
          <w:u w:val="single"/>
        </w:rPr>
        <w:t xml:space="preserve">Člen 19.</w:t>
      </w:r>
      <w:r>
        <w:rPr>
          <w:color w:val="FF0000"/>
          <w:sz w:val="24"/>
          <w:u w:val="single"/>
        </w:rPr>
        <w:t xml:space="preserve"> </w:t>
      </w:r>
      <w:r>
        <w:rPr>
          <w:color w:val="FF0000"/>
          <w:sz w:val="24"/>
          <w:u w:val="single"/>
        </w:rPr>
        <w:t xml:space="preserve">Kazenske sankcije</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Z osemdnevno do triletno zaporno kaznijo in globo v višini od 251 EUR do 750 000 EUR ali samo z eno od teh kazni se kaznujejo kršitve iz člena 6(1), člena 7(1)(1), člena 7(3), člena 8(1)(2), člena 8(2), člena 8(4), člena 9 in člena 11(1).</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color w:val="FF0000"/>
          <w:sz w:val="24"/>
          <w:szCs w:val="24"/>
          <w:rFonts w:eastAsia="Calibri" w:cs="TimesNewRoman"/>
        </w:rPr>
      </w:pPr>
      <w:r>
        <w:rPr>
          <w:color w:val="FF0000"/>
          <w:sz w:val="24"/>
        </w:rPr>
        <w:t xml:space="preserve">Enake kazni se uporabljajo v primeru kršitve ali neizpolnjevanja upravnih ukrepov, naloženih na podlagi člena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color w:val="FF0000"/>
          <w:sz w:val="24"/>
          <w:szCs w:val="24"/>
          <w:rFonts w:eastAsia="Calibri" w:cs="TimesNewRoman"/>
        </w:rPr>
      </w:pPr>
      <w:r>
        <w:rPr>
          <w:color w:val="FF0000"/>
          <w:sz w:val="24"/>
          <w:u w:val="single"/>
        </w:rPr>
        <w:t xml:space="preserve">Člen 20.</w:t>
      </w:r>
      <w:r>
        <w:rPr>
          <w:color w:val="FF0000"/>
          <w:sz w:val="24"/>
          <w:u w:val="single"/>
        </w:rPr>
        <w:t xml:space="preserve"> </w:t>
      </w:r>
      <w:r>
        <w:rPr>
          <w:color w:val="FF0000"/>
          <w:sz w:val="24"/>
          <w:u w:val="single"/>
        </w:rPr>
        <w:t xml:space="preserve">Upravne globe</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Minister lahko naloži upravno globo v višini od 50 EUR do 10 000 EUR v primeru kršitve člena 5(1) in (2), člena 7(2)(a)(3), člena 8(3)(3), člena 12(2), člena 14(1) in (2), člena 15 ali člena 16(2).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Globe je treba plačati v roku dveh mesecev po vročitvi pisnega obvestila o odločbi.</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Upravne globe pobere Uprava za registracijo, posesti in DDV.</w:t>
      </w:r>
      <w:r>
        <w:rPr>
          <w:color w:val="FF0000"/>
          <w:sz w:val="24"/>
        </w:rPr>
        <w:t xml:space="preserve"> </w:t>
      </w:r>
      <w:r>
        <w:rPr>
          <w:color w:val="FF0000"/>
          <w:sz w:val="24"/>
        </w:rPr>
        <w:t xml:space="preserve">Izterjava se izvede na enak način kot pri pristojbinah za registracijo.</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b/>
          <w:bCs/>
          <w:iCs/>
          <w:rFonts w:eastAsia="Times New Roman" w:cs="Arial"/>
        </w:rPr>
      </w:pPr>
      <w:r>
        <w:rPr>
          <w:b/>
        </w:rPr>
        <w:t xml:space="preserve">Člen 21.</w:t>
      </w:r>
      <w:r>
        <w:rPr>
          <w:b/>
        </w:rPr>
        <w:t xml:space="preserve"> </w:t>
      </w:r>
      <w:r>
        <w:rPr>
          <w:b/>
        </w:rPr>
        <w:t xml:space="preserve">Upravni ukrepi</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Minister lahko v primeru neupoštevanja kazenskih določb iz </w:t>
      </w:r>
      <w:r>
        <w:t xml:space="preserve">člena 19</w:t>
      </w:r>
      <w:r>
        <w:rPr>
          <w:strike/>
          <w:color w:val="FF0000"/>
        </w:rPr>
        <w:t xml:space="preserve">(1)</w:t>
      </w:r>
      <w:r>
        <w:t xml:space="preserve"> tega zakona:</w:t>
      </w:r>
    </w:p>
    <w:p w14:paraId="3FA876A2" w14:textId="77777777" w:rsidR="000147DB" w:rsidRPr="00B972B3" w:rsidRDefault="000147DB" w:rsidP="000147DB">
      <w:pPr>
        <w:spacing w:after="0" w:line="240" w:lineRule="auto"/>
        <w:jc w:val="both"/>
        <w:rPr>
          <w:spacing w:val="-4"/>
          <w:rFonts w:eastAsia="Times New Roman" w:cs="Arial"/>
        </w:rPr>
      </w:pPr>
      <w:r>
        <w:t xml:space="preserve">osebi, odgovorni za embalažo, pooblaščenemu organu ali kateri koli drugi zadevni osebi določi rok za uskladitev z temi določbami, pri čemer ta rok ne sme biti daljši od dveh let;</w:t>
      </w:r>
    </w:p>
    <w:p w14:paraId="3CDBEA63" w14:textId="11412CF2" w:rsidR="000147DB" w:rsidRPr="003E7524" w:rsidRDefault="000147DB" w:rsidP="000147DB">
      <w:pPr>
        <w:autoSpaceDE w:val="0"/>
        <w:autoSpaceDN w:val="0"/>
        <w:adjustRightInd w:val="0"/>
        <w:spacing w:after="0" w:line="276" w:lineRule="auto"/>
        <w:jc w:val="both"/>
        <w:rPr>
          <w:color w:val="FF0000"/>
          <w:sz w:val="24"/>
          <w:szCs w:val="24"/>
          <w:rFonts w:cs="TimesNewRoman"/>
        </w:rPr>
      </w:pPr>
      <w:r>
        <w:rPr>
          <w:color w:val="FF0000"/>
          <w:sz w:val="24"/>
        </w:rPr>
        <w:t xml:space="preserve">2) v celoti ali deloma odredi začasno zaustavitev dejavnosti osebe, odgovorne za embalažo, ali pooblaščenega organa, upravljanje obrata ali popolno ali delno zaprtje obrata ter namesti pečate ali prepove dajanje na trg ali zahteva umik embalaže in odpadne embalaže iz tega zakona s trga.</w:t>
      </w:r>
      <w:r>
        <w:rPr>
          <w:color w:val="FF0000"/>
          <w:sz w:val="24"/>
        </w:rPr>
        <w:t xml:space="preserve">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 xml:space="preserve">(2) Vsaka zainteresirana oseba lahko zahteva izvedbo ukrepov iz odstavka 1.</w:t>
      </w:r>
    </w:p>
    <w:p w14:paraId="15C47735" w14:textId="77777777" w:rsidR="000147DB" w:rsidRPr="003E7524" w:rsidRDefault="000147DB" w:rsidP="000147DB">
      <w:pPr>
        <w:spacing w:after="0" w:line="240" w:lineRule="auto"/>
        <w:jc w:val="both"/>
        <w:rPr>
          <w:rFonts w:eastAsia="Times New Roman" w:cs="Arial"/>
        </w:rPr>
      </w:pPr>
      <w:r>
        <w:t xml:space="preserve">(3) Ukrepi, navedeni v odstavku 1, se lahko ukinejo, če oseba, odgovorna za embalažo, pooblaščeni organ ali druga zadevna oseba zagotovi izpolnjevanje zadevnih določb.</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t xml:space="preserve">Člen 22.</w:t>
      </w:r>
      <w:r>
        <w:rPr>
          <w:b/>
        </w:rPr>
        <w:t xml:space="preserve"> </w:t>
      </w:r>
      <w:r>
        <w:rPr>
          <w:b/>
        </w:rPr>
        <w:t xml:space="preserve">Pritožbe</w:t>
      </w:r>
    </w:p>
    <w:p w14:paraId="777CA2C3" w14:textId="77777777" w:rsidR="000147DB" w:rsidRPr="003E7524" w:rsidRDefault="000147DB" w:rsidP="000147DB">
      <w:pPr>
        <w:spacing w:after="0" w:line="240" w:lineRule="auto"/>
        <w:jc w:val="both"/>
        <w:rPr>
          <w:rFonts w:eastAsia="Times New Roman" w:cs="Arial"/>
        </w:rPr>
      </w:pPr>
      <w:r>
        <w:t xml:space="preserve">Zoper odločbe, sprejete na podlagi tega zakona, se je mogoče pritožiti na upravnem sodišču.</w:t>
      </w:r>
      <w:r>
        <w:t xml:space="preserve"> </w:t>
      </w:r>
      <w:r>
        <w:t xml:space="preserve">Postopek pritožbe je treba začeti v roku štiridesetih dni po vročitvi odločbe, sicer se pravica do pritožbe razveljavi.</w:t>
      </w:r>
      <w:r>
        <w:t xml:space="preserve"> </w:t>
      </w:r>
      <w:r>
        <w:t xml:space="preserve">Pritožijo se lahko tudi združenja in organizacije iz člena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color w:val="000000"/>
          <w:rFonts w:eastAsia="Times New Roman" w:cs="Arial"/>
        </w:rPr>
      </w:pPr>
      <w:r>
        <w:rPr>
          <w:b/>
          <w:color w:val="000000"/>
        </w:rPr>
        <w:t xml:space="preserve">Člen 23.</w:t>
      </w:r>
      <w:r>
        <w:rPr>
          <w:b/>
          <w:color w:val="000000"/>
        </w:rPr>
        <w:t xml:space="preserve"> </w:t>
      </w:r>
      <w:r>
        <w:rPr>
          <w:b/>
          <w:color w:val="000000"/>
        </w:rPr>
        <w:t xml:space="preserve">Pravica pooblaščenih okoljskih združenj do pritožbe</w:t>
      </w:r>
    </w:p>
    <w:p w14:paraId="54A6D588" w14:textId="7234A958" w:rsidR="000147DB" w:rsidRPr="003E7524" w:rsidRDefault="000147DB" w:rsidP="000147DB">
      <w:pPr>
        <w:spacing w:after="0" w:line="240" w:lineRule="auto"/>
        <w:jc w:val="both"/>
        <w:rPr>
          <w:color w:val="000000"/>
          <w:rFonts w:eastAsia="Times New Roman" w:cs="Arial"/>
        </w:rPr>
      </w:pPr>
      <w:r>
        <w:rPr>
          <w:color w:val="000000"/>
        </w:rPr>
        <w:t xml:space="preserve">Združenja in organizacije, pooblaščene na podlagi zakona z dne 21. marca 2012, lahko uveljavljajo pravice civilne stranke v zvezi z dejanji, ki predstavljajo kršitev v smislu tega zakona in neposredno ali posredno vplivajo na skupne interese, ki jih branijo, tudi če ne utemeljijo materialnega interesa in se skupni interes, v katerem delujejo, popolnoma prekriva z družbenim interesom, ki ga zagovarja državni tožilec.</w:t>
      </w:r>
      <w:r>
        <w:rPr>
          <w:color w:val="000000"/>
        </w:rPr>
        <w:t xml:space="preserve"> </w:t>
      </w:r>
      <w:r>
        <w:rPr>
          <w:color w:val="000000"/>
        </w:rPr>
        <w:t xml:space="preserve">Enako velja za združenja in organizacije, ki so ustanovljene po tujem pravu in delujejo kot pravne osebe ter izvajajo svoje statutarne dejavnosti na področju varstva okolja.</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color w:val="FF0000"/>
          <w:sz w:val="24"/>
          <w:szCs w:val="24"/>
          <w:u w:val="single"/>
          <w:rFonts w:cs="TimesNewRoman"/>
        </w:rPr>
      </w:pPr>
      <w:r>
        <w:rPr>
          <w:color w:val="FF0000"/>
          <w:sz w:val="24"/>
          <w:u w:val="single"/>
        </w:rPr>
        <w:t xml:space="preserve">Člen 24.</w:t>
      </w:r>
      <w:r>
        <w:rPr>
          <w:color w:val="FF0000"/>
          <w:sz w:val="24"/>
          <w:u w:val="single"/>
        </w:rPr>
        <w:t xml:space="preserve"> </w:t>
      </w:r>
      <w:r>
        <w:rPr>
          <w:color w:val="FF0000"/>
          <w:sz w:val="24"/>
          <w:u w:val="single"/>
        </w:rPr>
        <w:t xml:space="preserve">Priloge</w:t>
      </w:r>
      <w:r>
        <w:rPr>
          <w:color w:val="FF0000"/>
          <w:sz w:val="24"/>
          <w:u w:val="single"/>
        </w:rPr>
        <w:t xml:space="preserve">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b/>
          <w:color w:val="FF0000"/>
          <w:sz w:val="24"/>
          <w:szCs w:val="24"/>
          <w:rFonts w:cs="TimesNewRoman"/>
        </w:rPr>
      </w:pPr>
      <w:r>
        <w:rPr>
          <w:b/>
          <w:color w:val="FF0000"/>
          <w:sz w:val="24"/>
        </w:rPr>
        <w:t xml:space="preserve">Člen 24.</w:t>
      </w:r>
      <w:r>
        <w:rPr>
          <w:b/>
          <w:color w:val="FF0000"/>
          <w:sz w:val="24"/>
        </w:rPr>
        <w:t xml:space="preserve"> </w:t>
      </w:r>
      <w:r>
        <w:rPr>
          <w:b/>
          <w:color w:val="FF0000"/>
          <w:sz w:val="24"/>
        </w:rPr>
        <w:t xml:space="preserve">Spremembe Priloge I k Direktivi 94/62/ES Evropskega parlamenta in Sveta z dne 20. decembra 1994 o embalaži in odpadni embalaži, kakor je bila spremenjena z delegiranimi akti Evropske komisije, sprejetimi v skladu s členom 19(2) in členom 21a navedene direktive.</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rPr>
        <w:t xml:space="preserve">Spremembe priloge k Direktivi 94/62/ES Evropskega parlamenta in Sveta z dne 20. decembra 1994 o embalaži in odpadni embalaži, kakor je bila spremenjena z delegiranimi akti Evropske komisije, sprejetimi v skladu s členom 19(2) in členom 21a navedene direktive, začnejo vejati na datum začetka veljavnosti ustreznih aktov Evropske komisije.</w:t>
      </w:r>
    </w:p>
    <w:p w14:paraId="6EBC782C" w14:textId="77777777" w:rsidR="000147DB" w:rsidRPr="003E7524" w:rsidRDefault="000147DB" w:rsidP="000147DB">
      <w:pPr>
        <w:autoSpaceDE w:val="0"/>
        <w:autoSpaceDN w:val="0"/>
        <w:adjustRightInd w:val="0"/>
        <w:spacing w:after="0" w:line="240" w:lineRule="auto"/>
        <w:jc w:val="both"/>
        <w:rPr>
          <w:color w:val="FF0000"/>
          <w:sz w:val="24"/>
          <w:szCs w:val="24"/>
          <w:rFonts w:cs="TimesNewRoman"/>
        </w:rPr>
      </w:pPr>
      <w:r>
        <w:rPr>
          <w:color w:val="FF0000"/>
          <w:sz w:val="24"/>
        </w:rPr>
        <w:t xml:space="preserve">Minister bo objavil obvestilo v Uradnem listu Velikega vojvodstva Luksemburg, pri čemer bo navedel nastale spremembe in sklic na akt, objavljen v Uradnem listu Evropske unije.</w:t>
      </w:r>
      <w:r>
        <w:rPr>
          <w:color w:val="FF0000"/>
          <w:sz w:val="24"/>
        </w:rPr>
        <w:t xml:space="preserv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b/>
          <w:color w:val="000000"/>
          <w:rFonts w:eastAsia="Times New Roman" w:cs="Arial"/>
        </w:rPr>
      </w:pPr>
      <w:r>
        <w:rPr>
          <w:b/>
          <w:color w:val="000000"/>
        </w:rPr>
        <w:t xml:space="preserve">PRILOGA I</w:t>
      </w:r>
    </w:p>
    <w:p w14:paraId="3C2BC896" w14:textId="77777777" w:rsidR="000147DB" w:rsidRPr="003E7524" w:rsidRDefault="000147DB" w:rsidP="00B972B3">
      <w:pPr>
        <w:keepNext/>
        <w:keepLines/>
        <w:spacing w:after="0" w:line="240" w:lineRule="auto"/>
        <w:jc w:val="center"/>
        <w:rPr>
          <w:b/>
          <w:bCs/>
          <w:color w:val="000000"/>
          <w:rFonts w:eastAsia="Times New Roman" w:cs="Arial"/>
        </w:rPr>
      </w:pPr>
      <w:r>
        <w:rPr>
          <w:b/>
          <w:color w:val="000000"/>
        </w:rPr>
        <w:t xml:space="preserve">Osnovne zahteve, ki se nanašajo na sestavo in možnost ponovne uporabe in predelave (zlasti recikliranja) embalaže</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 xml:space="preserve">1) Zahteve, ki se nanašajo na proizvodnjo in sestavo embalaže</w:t>
      </w:r>
    </w:p>
    <w:p w14:paraId="174C3BC4" w14:textId="77777777" w:rsidR="000147DB" w:rsidRPr="003E7524" w:rsidRDefault="000147DB" w:rsidP="000147DB">
      <w:pPr>
        <w:spacing w:after="0" w:line="240" w:lineRule="auto"/>
        <w:jc w:val="both"/>
        <w:rPr>
          <w:color w:val="000000"/>
          <w:rFonts w:eastAsia="Times New Roman" w:cs="Arial"/>
        </w:rPr>
      </w:pPr>
      <w:r>
        <w:rPr>
          <w:color w:val="000000"/>
        </w:rPr>
        <w:t xml:space="preserve">a) Embalaža se izdela tako, da se v največji meri omejita njena prostornina in teža in tako zagotovi zahtevana stopnja varnosti, higiene in sprejemljivosti tako za embalirani proizvod kot tudi za potrošnika.</w:t>
      </w:r>
    </w:p>
    <w:p w14:paraId="629D9CA7" w14:textId="17BC5018"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b) Embalaža se zasnuje, izdela in prodaja tako, da se omogoči njena ponovna uporaba ali predelava, vključno z recikliranjem, v skladu s hierarhijo ravnanja z odpadki in da se pri odstranjevanju odpadne embalaže ali ostankov v postopku ravnanja z odpadno embalažo v največji meri zmanjšajo vplivi na okolje.</w:t>
      </w:r>
      <w:r>
        <w:rPr>
          <w:color w:val="FF0000"/>
          <w:sz w:val="24"/>
        </w:rPr>
        <w:t xml:space="preserve">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color w:val="000000"/>
          <w:rFonts w:eastAsia="Times New Roman" w:cs="Arial"/>
        </w:rPr>
      </w:pPr>
      <w:r>
        <w:rPr>
          <w:color w:val="000000"/>
        </w:rPr>
        <w:t xml:space="preserve">c) Embalaža se izdela tako, da se v največji meri zmanjša vsebnost škodljivih snovi in drugih nevarnih snovi embalažnega materiala in elementov v emisijah, pepelu ali lugu, nastalem pri sežiganju ali odlaganju embalaže ali ostankov v postopkih ravnanja z odpadno embalažo.</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color w:val="000000"/>
          <w:rFonts w:eastAsia="Times New Roman" w:cs="Arial"/>
        </w:rPr>
      </w:pPr>
      <w:r>
        <w:rPr>
          <w:b/>
          <w:color w:val="000000"/>
        </w:rPr>
        <w:t xml:space="preserve">2) Zahteve glede možnosti ponovne uporabe embalaže</w:t>
      </w:r>
    </w:p>
    <w:p w14:paraId="632929B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Embalaža mora istočasno izpolnjevati naslednje zahteve:</w:t>
      </w:r>
    </w:p>
    <w:p w14:paraId="3D32190A" w14:textId="77777777" w:rsidR="000147DB" w:rsidRPr="003E7524" w:rsidRDefault="000147DB" w:rsidP="000147DB">
      <w:pPr>
        <w:spacing w:after="0" w:line="240" w:lineRule="auto"/>
        <w:jc w:val="both"/>
        <w:rPr>
          <w:color w:val="000000"/>
          <w:rFonts w:eastAsia="Times New Roman" w:cs="Arial"/>
        </w:rPr>
      </w:pPr>
      <w:r>
        <w:rPr>
          <w:color w:val="000000"/>
        </w:rPr>
        <w:t xml:space="preserve">a) zaradi svojih fizikalnih lastnosti in značilnosti lahko opravi več poti in krogov v skladu s predvidenimi običajnimi pogoji uporabe,</w:t>
      </w:r>
    </w:p>
    <w:p w14:paraId="45F75A04" w14:textId="77777777" w:rsidR="000147DB" w:rsidRPr="003E7524" w:rsidRDefault="000147DB" w:rsidP="000147DB">
      <w:pPr>
        <w:spacing w:after="0" w:line="240" w:lineRule="auto"/>
        <w:jc w:val="both"/>
        <w:rPr>
          <w:color w:val="000000"/>
          <w:rFonts w:eastAsia="Times New Roman" w:cs="Arial"/>
        </w:rPr>
      </w:pPr>
      <w:r>
        <w:rPr>
          <w:color w:val="000000"/>
        </w:rPr>
        <w:t xml:space="preserve">b) rabljeno embalažo je mogoče predelati, da se izpolnijo zdravstvene in varnostne zahteve delavcev,</w:t>
      </w:r>
    </w:p>
    <w:p w14:paraId="3D452CEF" w14:textId="77777777" w:rsidR="000147DB" w:rsidRPr="003E7524" w:rsidRDefault="000147DB" w:rsidP="000147DB">
      <w:pPr>
        <w:spacing w:after="0" w:line="240" w:lineRule="auto"/>
        <w:jc w:val="both"/>
        <w:rPr>
          <w:color w:val="000000"/>
          <w:rFonts w:eastAsia="Times New Roman" w:cs="Arial"/>
        </w:rPr>
      </w:pPr>
      <w:r>
        <w:rPr>
          <w:color w:val="000000"/>
        </w:rPr>
        <w:t xml:space="preserve">c) upoštevajo se zahteve za embalažo, ki je po uporabi ni več mogoče predelati in zato postane odpadek.</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b/>
          <w:bCs/>
          <w:iCs/>
          <w:color w:val="000000"/>
          <w:rFonts w:eastAsia="Times New Roman" w:cs="Arial"/>
        </w:rPr>
      </w:pPr>
      <w:r>
        <w:rPr>
          <w:b/>
          <w:color w:val="000000"/>
        </w:rPr>
        <w:t xml:space="preserve">3) Zahteve glede možnosti predelave embalaže</w:t>
      </w:r>
    </w:p>
    <w:p w14:paraId="1EE282C0"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a) Embalaža, ki se predela z recikliranjem materialov</w:t>
      </w:r>
      <w:r>
        <w:rPr>
          <w:color w:val="000000"/>
        </w:rPr>
        <w:t xml:space="preserve"> </w:t>
      </w:r>
    </w:p>
    <w:p w14:paraId="72BEBD90" w14:textId="77777777" w:rsidR="000147DB" w:rsidRPr="003E7524" w:rsidRDefault="000147DB" w:rsidP="000147DB">
      <w:pPr>
        <w:spacing w:after="0" w:line="240" w:lineRule="auto"/>
        <w:jc w:val="both"/>
        <w:rPr>
          <w:color w:val="000000"/>
          <w:rFonts w:eastAsia="Times New Roman" w:cs="Arial"/>
        </w:rPr>
      </w:pPr>
      <w:r>
        <w:rPr>
          <w:color w:val="000000"/>
        </w:rPr>
        <w:t xml:space="preserve">Embalažo je treba izdelati tako, da se določen odstotek teže uporabljenih materialov lahko reciklira za proizvodnjo tržnega blaga, ob upoštevanju veljavnih standardov v Evropski uniji.</w:t>
      </w:r>
      <w:r>
        <w:rPr>
          <w:color w:val="000000"/>
        </w:rPr>
        <w:t xml:space="preserve"> </w:t>
      </w:r>
      <w:r>
        <w:rPr>
          <w:color w:val="000000"/>
        </w:rPr>
        <w:t xml:space="preserve">Ta odstotek se lahko spreminja glede na vrsto materiala, ki sestavlja embalažo.</w:t>
      </w:r>
    </w:p>
    <w:p w14:paraId="1A7B37E6"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b) Embalaža, ki se predela z energetsko predelavo</w:t>
      </w:r>
      <w:r>
        <w:rPr>
          <w:color w:val="000000"/>
        </w:rPr>
        <w:t xml:space="preserve"> </w:t>
      </w:r>
    </w:p>
    <w:p w14:paraId="041C2C54" w14:textId="77777777" w:rsidR="000147DB" w:rsidRPr="003E7524" w:rsidRDefault="000147DB" w:rsidP="000147DB">
      <w:pPr>
        <w:spacing w:after="0" w:line="240" w:lineRule="auto"/>
        <w:jc w:val="both"/>
        <w:rPr>
          <w:color w:val="000000"/>
          <w:rFonts w:eastAsia="Times New Roman" w:cs="Arial"/>
        </w:rPr>
      </w:pPr>
      <w:r>
        <w:rPr>
          <w:color w:val="000000"/>
        </w:rPr>
        <w:t xml:space="preserve">Odpadna embalaža, ki je predmet energetske predelave, ima manjšo kalorično vrednost, ki omogoča optimalno pridobivanje energije.</w:t>
      </w:r>
    </w:p>
    <w:p w14:paraId="47DD47B7" w14:textId="77777777" w:rsidR="000147DB" w:rsidRPr="003E7524" w:rsidRDefault="000147DB" w:rsidP="00B972B3">
      <w:pPr>
        <w:keepNext/>
        <w:keepLines/>
        <w:spacing w:after="0" w:line="240" w:lineRule="auto"/>
        <w:jc w:val="both"/>
        <w:rPr>
          <w:color w:val="000000"/>
          <w:rFonts w:eastAsia="Times New Roman" w:cs="Arial"/>
        </w:rPr>
      </w:pPr>
      <w:r>
        <w:rPr>
          <w:color w:val="000000"/>
        </w:rPr>
        <w:t xml:space="preserve">c) Embalaža, ki se predela s kompostiranjem</w:t>
      </w:r>
      <w:r>
        <w:rPr>
          <w:color w:val="000000"/>
        </w:rPr>
        <w:t xml:space="preserve"> </w:t>
      </w:r>
    </w:p>
    <w:p w14:paraId="0F150FF9" w14:textId="77777777" w:rsidR="000147DB" w:rsidRPr="003E7524" w:rsidRDefault="000147DB" w:rsidP="000147DB">
      <w:pPr>
        <w:spacing w:after="0" w:line="240" w:lineRule="auto"/>
        <w:jc w:val="both"/>
        <w:rPr>
          <w:color w:val="000000"/>
          <w:rFonts w:eastAsia="Times New Roman" w:cs="Arial"/>
        </w:rPr>
      </w:pPr>
      <w:r>
        <w:rPr>
          <w:color w:val="000000"/>
        </w:rPr>
        <w:t xml:space="preserve">Odpadna embalaža, predelana z namenom kompostiranja, mora biti zadovoljivo biološko razgradljiva, da ne ovira ločenega zbiranja in postopka ali dejavnosti kompostiranja, v katero je vključena.</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color w:val="FF0000"/>
          <w:sz w:val="24"/>
          <w:szCs w:val="24"/>
          <w:rFonts w:cs="TimesNewRoman"/>
        </w:rPr>
      </w:pPr>
      <w:r>
        <w:rPr>
          <w:color w:val="FF0000"/>
          <w:sz w:val="24"/>
        </w:rPr>
        <w:t xml:space="preserve">d) Biološko razgradljiva embalaža</w:t>
      </w:r>
    </w:p>
    <w:p w14:paraId="7A56FE8C" w14:textId="77777777" w:rsidR="000147DB" w:rsidRPr="003E7524" w:rsidRDefault="000147DB" w:rsidP="000147DB">
      <w:pPr>
        <w:autoSpaceDE w:val="0"/>
        <w:autoSpaceDN w:val="0"/>
        <w:adjustRightInd w:val="0"/>
        <w:spacing w:after="0"/>
        <w:jc w:val="both"/>
        <w:rPr>
          <w:color w:val="FF0000"/>
          <w:sz w:val="24"/>
          <w:szCs w:val="24"/>
          <w:rFonts w:cs="TimesNewRoman"/>
        </w:rPr>
      </w:pPr>
      <w:r>
        <w:rPr>
          <w:color w:val="FF0000"/>
          <w:sz w:val="24"/>
        </w:rPr>
        <w:t xml:space="preserve">Značilnosti biološko razgradljive embalaže morajo omogočati fizično, kemijsko, toplotno ali biološko razgradnjo, pri kateri se največji delež pridobljenega komposta na koncu razgradi v ogljikov dioksid, biomaso in vodo.</w:t>
      </w:r>
      <w:r>
        <w:rPr>
          <w:color w:val="FF0000"/>
          <w:sz w:val="24"/>
        </w:rPr>
        <w:t xml:space="preserve"> </w:t>
      </w:r>
    </w:p>
    <w:p w14:paraId="76704C00" w14:textId="77777777" w:rsidR="000147DB" w:rsidRPr="003E7524" w:rsidRDefault="000147DB" w:rsidP="000147DB">
      <w:pPr>
        <w:autoSpaceDE w:val="0"/>
        <w:autoSpaceDN w:val="0"/>
        <w:adjustRightInd w:val="0"/>
        <w:spacing w:after="0"/>
        <w:jc w:val="both"/>
        <w:rPr>
          <w:sz w:val="24"/>
          <w:szCs w:val="24"/>
          <w:rFonts w:cs="TimesNewRoman"/>
        </w:rPr>
      </w:pPr>
      <w:r>
        <w:rPr>
          <w:color w:val="FF0000"/>
          <w:sz w:val="24"/>
        </w:rPr>
        <w:t xml:space="preserve">Okso-razgradljiva plastična embalaža ne šteje za biološko razgradljivo.</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b/>
          <w:rFonts w:eastAsia="Times New Roman" w:cs="Arial"/>
        </w:rPr>
      </w:pPr>
      <w:r>
        <w:rPr>
          <w:b/>
        </w:rPr>
        <w:t xml:space="preserve">PRILOGA II</w:t>
      </w:r>
    </w:p>
    <w:p w14:paraId="08D0C795" w14:textId="77777777" w:rsidR="000147DB" w:rsidRPr="003E7524" w:rsidRDefault="000147DB" w:rsidP="00B972B3">
      <w:pPr>
        <w:keepNext/>
        <w:keepLines/>
        <w:spacing w:after="0" w:line="240" w:lineRule="auto"/>
        <w:jc w:val="center"/>
        <w:rPr>
          <w:b/>
          <w:bCs/>
          <w:rFonts w:eastAsia="Times New Roman" w:cs="Arial"/>
        </w:rPr>
      </w:pPr>
      <w:r>
        <w:rPr>
          <w:b/>
        </w:rPr>
        <w:t xml:space="preserve">Okoljski sporazum</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 xml:space="preserve">Za okoljske sporazume iz tega zakona se uporabljajo naslednja pravila:</w:t>
      </w:r>
    </w:p>
    <w:p w14:paraId="26FA5C49" w14:textId="77777777" w:rsidR="000147DB" w:rsidRPr="003E7524" w:rsidRDefault="000147DB" w:rsidP="000147DB">
      <w:pPr>
        <w:spacing w:after="0" w:line="240" w:lineRule="auto"/>
        <w:jc w:val="both"/>
        <w:rPr>
          <w:rFonts w:eastAsia="Times New Roman" w:cs="Arial"/>
        </w:rPr>
      </w:pPr>
      <w:r>
        <w:t xml:space="preserve">1) v sporazumih morajo biti opredeljeni cilji in obdobje veljavnosti;</w:t>
      </w:r>
    </w:p>
    <w:p w14:paraId="6DB322CD" w14:textId="77777777" w:rsidR="000147DB" w:rsidRPr="003E7524" w:rsidRDefault="000147DB" w:rsidP="000147DB">
      <w:pPr>
        <w:spacing w:after="0" w:line="240" w:lineRule="auto"/>
        <w:jc w:val="both"/>
        <w:rPr>
          <w:rFonts w:eastAsia="Times New Roman" w:cs="Arial"/>
        </w:rPr>
      </w:pPr>
      <w:r>
        <w:t xml:space="preserve">2) sporazumi in rezultati, doseženi pri njihovem izvajanju, so na voljo javnosti in minister jih posreduje Evropski komisiji;</w:t>
      </w:r>
    </w:p>
    <w:p w14:paraId="0C4AFADA" w14:textId="77777777" w:rsidR="000147DB" w:rsidRPr="003E7524" w:rsidRDefault="000147DB" w:rsidP="000147DB">
      <w:pPr>
        <w:spacing w:after="0" w:line="240" w:lineRule="auto"/>
        <w:jc w:val="both"/>
        <w:rPr>
          <w:rFonts w:eastAsia="Times New Roman" w:cs="Arial"/>
        </w:rPr>
      </w:pPr>
      <w:r>
        <w:t xml:space="preserve">3) izvajanje sporazumov redno preverja uprava;</w:t>
      </w:r>
    </w:p>
    <w:p w14:paraId="338631B9" w14:textId="77777777" w:rsidR="000147DB" w:rsidRPr="003E7524" w:rsidRDefault="000147DB" w:rsidP="000147DB">
      <w:pPr>
        <w:spacing w:after="0" w:line="240" w:lineRule="auto"/>
        <w:jc w:val="both"/>
        <w:rPr>
          <w:rFonts w:eastAsia="Times New Roman" w:cs="Arial"/>
        </w:rPr>
      </w:pPr>
      <w:r>
        <w:t xml:space="preserve">4) sporazumi vključujejo ukrepe in kazni v primeru neupoštevanja njihovih določb;</w:t>
      </w:r>
    </w:p>
    <w:p w14:paraId="3E2E4659" w14:textId="77777777" w:rsidR="000147DB" w:rsidRPr="003E7524" w:rsidRDefault="000147DB" w:rsidP="000147DB">
      <w:pPr>
        <w:spacing w:after="0" w:line="240" w:lineRule="auto"/>
        <w:jc w:val="both"/>
        <w:rPr>
          <w:rFonts w:eastAsia="Times New Roman" w:cs="Arial"/>
        </w:rPr>
      </w:pPr>
      <w:r>
        <w:t xml:space="preserve">5) sporazumi se sklenejo za določeno obdobje, ki ne sme biti daljše od petih let.</w:t>
      </w:r>
      <w:r>
        <w:t xml:space="preserve"> </w:t>
      </w:r>
      <w:r>
        <w:t xml:space="preserve">Sporazumov ni mogoče podaljšati s tihim soglasjem;</w:t>
      </w:r>
    </w:p>
    <w:p w14:paraId="104D8A65" w14:textId="77777777" w:rsidR="000147DB" w:rsidRPr="003E7524" w:rsidRDefault="000147DB" w:rsidP="000147DB">
      <w:pPr>
        <w:spacing w:after="0" w:line="240" w:lineRule="auto"/>
        <w:jc w:val="both"/>
        <w:rPr>
          <w:rFonts w:eastAsia="Times New Roman" w:cs="Arial"/>
        </w:rPr>
      </w:pPr>
      <w:r>
        <w:t xml:space="preserve">6) sporazumi prenehajo veljati bodisi ob izteku roka, za katerega so bili sklenjeni, bodisi ob doseženih ciljih ali na podlagi soglasja strank.</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 xml:space="preserve">Zakon z dne XXXXX</w:t>
      </w:r>
    </w:p>
    <w:p w14:paraId="4FF80B34" w14:textId="22A28547" w:rsidR="000147DB" w:rsidRPr="003E7524" w:rsidRDefault="000147DB" w:rsidP="000147DB">
      <w:pPr>
        <w:autoSpaceDE w:val="0"/>
        <w:autoSpaceDN w:val="0"/>
        <w:adjustRightInd w:val="0"/>
        <w:spacing w:after="0"/>
        <w:jc w:val="center"/>
        <w:rPr>
          <w:b/>
          <w:color w:val="FF0000"/>
          <w:sz w:val="24"/>
          <w:szCs w:val="24"/>
          <w:u w:val="single"/>
          <w:rFonts w:cs="TimesNewRoman"/>
        </w:rPr>
      </w:pPr>
      <w:r>
        <w:rPr>
          <w:b/>
          <w:color w:val="FF0000"/>
          <w:sz w:val="24"/>
          <w:u w:val="single"/>
        </w:rPr>
        <w:t xml:space="preserve">PRILOGA III</w:t>
      </w:r>
    </w:p>
    <w:p w14:paraId="79D2B46F" w14:textId="77777777" w:rsidR="000147DB" w:rsidRPr="005E4757" w:rsidRDefault="000147DB" w:rsidP="000147DB">
      <w:pPr>
        <w:autoSpaceDE w:val="0"/>
        <w:autoSpaceDN w:val="0"/>
        <w:adjustRightInd w:val="0"/>
        <w:spacing w:after="0"/>
        <w:jc w:val="center"/>
        <w:rPr>
          <w:bCs/>
          <w:color w:val="FF0000"/>
          <w:sz w:val="24"/>
          <w:szCs w:val="24"/>
          <w:u w:val="single"/>
          <w:rFonts w:cs="TimesNewRoman"/>
        </w:rPr>
      </w:pPr>
      <w:r>
        <w:rPr>
          <w:color w:val="FF0000"/>
          <w:sz w:val="24"/>
          <w:u w:val="single"/>
        </w:rPr>
        <w:t xml:space="preserve">Seznam sadja in zelenjave iz točke člena 5(1)(1)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 xml:space="preserve">Sveže sadje</w:t>
            </w:r>
          </w:p>
        </w:tc>
        <w:tc>
          <w:tcPr>
            <w:tcW w:w="4675" w:type="dxa"/>
          </w:tcPr>
          <w:p w14:paraId="5DD24357" w14:textId="77777777" w:rsidR="000147DB" w:rsidRPr="00B972B3" w:rsidRDefault="000147DB" w:rsidP="000147DB">
            <w:pPr>
              <w:rPr>
                <w:b/>
                <w:color w:val="FF0000"/>
                <w:spacing w:val="-4"/>
              </w:rPr>
            </w:pPr>
            <w:r>
              <w:rPr>
                <w:b/>
                <w:color w:val="FF0000"/>
              </w:rPr>
              <w:t xml:space="preserve">Sveža zelenjava</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 xml:space="preserve">Ananas</w:t>
            </w:r>
          </w:p>
        </w:tc>
        <w:tc>
          <w:tcPr>
            <w:tcW w:w="4675" w:type="dxa"/>
          </w:tcPr>
          <w:p w14:paraId="08482F53" w14:textId="77777777" w:rsidR="000147DB" w:rsidRPr="00B972B3" w:rsidRDefault="000147DB" w:rsidP="000147DB">
            <w:pPr>
              <w:rPr>
                <w:color w:val="FF0000"/>
                <w:spacing w:val="-4"/>
              </w:rPr>
            </w:pPr>
            <w:r>
              <w:rPr>
                <w:color w:val="FF0000"/>
              </w:rPr>
              <w:t xml:space="preserve">Česen</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 xml:space="preserve">Marelica</w:t>
            </w:r>
          </w:p>
        </w:tc>
        <w:tc>
          <w:tcPr>
            <w:tcW w:w="4675" w:type="dxa"/>
          </w:tcPr>
          <w:p w14:paraId="3AFF19ED" w14:textId="77777777" w:rsidR="000147DB" w:rsidRPr="00B972B3" w:rsidRDefault="000147DB" w:rsidP="000147DB">
            <w:pPr>
              <w:rPr>
                <w:color w:val="FF0000"/>
                <w:spacing w:val="-4"/>
              </w:rPr>
            </w:pPr>
            <w:r>
              <w:rPr>
                <w:color w:val="FF0000"/>
              </w:rPr>
              <w:t xml:space="preserve">Artičoka</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Avokado</w:t>
            </w:r>
            <w:r>
              <w:rPr>
                <w:color w:val="FF0000"/>
              </w:rPr>
              <w:t xml:space="preserve"> </w:t>
            </w:r>
          </w:p>
        </w:tc>
        <w:tc>
          <w:tcPr>
            <w:tcW w:w="4675" w:type="dxa"/>
          </w:tcPr>
          <w:p w14:paraId="2478D876" w14:textId="77777777" w:rsidR="000147DB" w:rsidRPr="00B972B3" w:rsidRDefault="000147DB" w:rsidP="000147DB">
            <w:pPr>
              <w:rPr>
                <w:color w:val="FF0000"/>
                <w:spacing w:val="-4"/>
              </w:rPr>
            </w:pPr>
            <w:r>
              <w:rPr>
                <w:color w:val="FF0000"/>
              </w:rPr>
              <w:t xml:space="preserve">Beluš</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 xml:space="preserve">Banana</w:t>
            </w:r>
          </w:p>
        </w:tc>
        <w:tc>
          <w:tcPr>
            <w:tcW w:w="4675" w:type="dxa"/>
          </w:tcPr>
          <w:p w14:paraId="3DDEEA9A" w14:textId="77777777" w:rsidR="000147DB" w:rsidRPr="00B972B3" w:rsidRDefault="000147DB" w:rsidP="000147DB">
            <w:pPr>
              <w:rPr>
                <w:color w:val="FF0000"/>
                <w:spacing w:val="-4"/>
              </w:rPr>
            </w:pPr>
            <w:r>
              <w:rPr>
                <w:color w:val="FF0000"/>
              </w:rPr>
              <w:t xml:space="preserve">Jajčevec</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Karambola</w:t>
            </w:r>
            <w:r>
              <w:rPr>
                <w:color w:val="FF0000"/>
              </w:rPr>
              <w:t xml:space="preserve"> </w:t>
            </w:r>
          </w:p>
        </w:tc>
        <w:tc>
          <w:tcPr>
            <w:tcW w:w="4675" w:type="dxa"/>
          </w:tcPr>
          <w:p w14:paraId="7AC5C4A8" w14:textId="77777777" w:rsidR="000147DB" w:rsidRPr="00B972B3" w:rsidRDefault="000147DB" w:rsidP="000147DB">
            <w:pPr>
              <w:rPr>
                <w:color w:val="FF0000"/>
                <w:spacing w:val="-4"/>
              </w:rPr>
            </w:pPr>
            <w:r>
              <w:rPr>
                <w:color w:val="FF0000"/>
              </w:rPr>
              <w:t xml:space="preserve">Pesa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 xml:space="preserve">Češnja</w:t>
            </w:r>
          </w:p>
        </w:tc>
        <w:tc>
          <w:tcPr>
            <w:tcW w:w="4675" w:type="dxa"/>
          </w:tcPr>
          <w:p w14:paraId="2B969983" w14:textId="77777777" w:rsidR="000147DB" w:rsidRPr="00B972B3" w:rsidRDefault="000147DB" w:rsidP="000147DB">
            <w:pPr>
              <w:rPr>
                <w:color w:val="FF0000"/>
                <w:spacing w:val="-4"/>
              </w:rPr>
            </w:pPr>
            <w:r>
              <w:rPr>
                <w:color w:val="FF0000"/>
              </w:rPr>
              <w:t xml:space="preserve">Brokoli</w:t>
            </w:r>
            <w:r>
              <w:rPr>
                <w:color w:val="FF0000"/>
              </w:rPr>
              <w:t xml:space="preserve">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 xml:space="preserve">Limona</w:t>
            </w:r>
          </w:p>
        </w:tc>
        <w:tc>
          <w:tcPr>
            <w:tcW w:w="4675" w:type="dxa"/>
          </w:tcPr>
          <w:p w14:paraId="47A7B036" w14:textId="77777777" w:rsidR="000147DB" w:rsidRPr="00B972B3" w:rsidRDefault="000147DB" w:rsidP="000147DB">
            <w:pPr>
              <w:rPr>
                <w:color w:val="FF0000"/>
                <w:spacing w:val="-4"/>
              </w:rPr>
            </w:pPr>
            <w:r>
              <w:rPr>
                <w:color w:val="FF0000"/>
              </w:rPr>
              <w:t xml:space="preserve">Korenje</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 xml:space="preserve">Limeta</w:t>
            </w:r>
          </w:p>
        </w:tc>
        <w:tc>
          <w:tcPr>
            <w:tcW w:w="4675" w:type="dxa"/>
          </w:tcPr>
          <w:p w14:paraId="453BF889" w14:textId="77777777" w:rsidR="000147DB" w:rsidRPr="00B972B3" w:rsidRDefault="000147DB" w:rsidP="000147DB">
            <w:pPr>
              <w:rPr>
                <w:color w:val="FF0000"/>
                <w:spacing w:val="-4"/>
              </w:rPr>
            </w:pPr>
            <w:r>
              <w:rPr>
                <w:color w:val="FF0000"/>
              </w:rPr>
              <w:t xml:space="preserve">Zelena</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 xml:space="preserve">Klementina</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 xml:space="preserve">Kutina</w:t>
            </w:r>
          </w:p>
        </w:tc>
        <w:tc>
          <w:tcPr>
            <w:tcW w:w="4675" w:type="dxa"/>
          </w:tcPr>
          <w:p w14:paraId="7F3699D7" w14:textId="77777777" w:rsidR="000147DB" w:rsidRPr="00B972B3" w:rsidRDefault="000147DB" w:rsidP="000147DB">
            <w:pPr>
              <w:rPr>
                <w:color w:val="FF0000"/>
                <w:spacing w:val="-4"/>
              </w:rPr>
            </w:pPr>
            <w:r>
              <w:rPr>
                <w:color w:val="FF0000"/>
              </w:rPr>
              <w:t xml:space="preserve">Brstični ohrovt</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 xml:space="preserve">Figa</w:t>
            </w:r>
          </w:p>
        </w:tc>
        <w:tc>
          <w:tcPr>
            <w:tcW w:w="4675" w:type="dxa"/>
          </w:tcPr>
          <w:p w14:paraId="7D013B00" w14:textId="77777777" w:rsidR="000147DB" w:rsidRPr="00B972B3" w:rsidRDefault="000147DB" w:rsidP="000147DB">
            <w:pPr>
              <w:rPr>
                <w:color w:val="FF0000"/>
                <w:spacing w:val="-4"/>
              </w:rPr>
            </w:pPr>
            <w:r>
              <w:rPr>
                <w:color w:val="FF0000"/>
              </w:rPr>
              <w:t xml:space="preserve">Cvetača</w:t>
            </w:r>
            <w:r>
              <w:rPr>
                <w:color w:val="FF0000"/>
              </w:rPr>
              <w:t xml:space="preserve">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 xml:space="preserve">Pasijonka</w:t>
            </w:r>
          </w:p>
        </w:tc>
        <w:tc>
          <w:tcPr>
            <w:tcW w:w="4675" w:type="dxa"/>
          </w:tcPr>
          <w:p w14:paraId="20A94445" w14:textId="77777777" w:rsidR="000147DB" w:rsidRPr="00B972B3" w:rsidRDefault="000147DB" w:rsidP="000147DB">
            <w:pPr>
              <w:rPr>
                <w:color w:val="FF0000"/>
                <w:spacing w:val="-4"/>
              </w:rPr>
            </w:pPr>
            <w:r>
              <w:rPr>
                <w:color w:val="FF0000"/>
              </w:rPr>
              <w:t xml:space="preserve">Koleraba</w:t>
            </w:r>
            <w:r>
              <w:rPr>
                <w:color w:val="FF0000"/>
              </w:rPr>
              <w:t xml:space="preserve">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w:t>
            </w:r>
            <w:r>
              <w:rPr>
                <w:color w:val="FF0000"/>
              </w:rPr>
              <w:t xml:space="preserve"> </w:t>
            </w:r>
          </w:p>
        </w:tc>
        <w:tc>
          <w:tcPr>
            <w:tcW w:w="4675" w:type="dxa"/>
          </w:tcPr>
          <w:p w14:paraId="31DCAFA7" w14:textId="77777777" w:rsidR="000147DB" w:rsidRPr="00B972B3" w:rsidRDefault="000147DB" w:rsidP="000147DB">
            <w:pPr>
              <w:rPr>
                <w:color w:val="FF0000"/>
                <w:spacing w:val="-4"/>
              </w:rPr>
            </w:pPr>
            <w:r>
              <w:rPr>
                <w:color w:val="FF0000"/>
              </w:rPr>
              <w:t xml:space="preserve">Rdeče zelje</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Granatno jabolko</w:t>
            </w:r>
            <w:r>
              <w:rPr>
                <w:color w:val="FF0000"/>
              </w:rPr>
              <w:t xml:space="preserve"> </w:t>
            </w:r>
          </w:p>
        </w:tc>
        <w:tc>
          <w:tcPr>
            <w:tcW w:w="4675" w:type="dxa"/>
          </w:tcPr>
          <w:p w14:paraId="2E7E8615" w14:textId="77777777" w:rsidR="000147DB" w:rsidRPr="00B972B3" w:rsidRDefault="000147DB" w:rsidP="000147DB">
            <w:pPr>
              <w:rPr>
                <w:color w:val="FF0000"/>
                <w:spacing w:val="-4"/>
              </w:rPr>
            </w:pPr>
            <w:r>
              <w:rPr>
                <w:color w:val="FF0000"/>
              </w:rPr>
              <w:t xml:space="preserve">Zelje</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 xml:space="preserve">Kivi</w:t>
            </w:r>
          </w:p>
        </w:tc>
        <w:tc>
          <w:tcPr>
            <w:tcW w:w="4675" w:type="dxa"/>
          </w:tcPr>
          <w:p w14:paraId="0CB65944" w14:textId="77777777" w:rsidR="000147DB" w:rsidRPr="00B972B3" w:rsidRDefault="000147DB" w:rsidP="000147DB">
            <w:pPr>
              <w:rPr>
                <w:color w:val="FF0000"/>
                <w:spacing w:val="-4"/>
              </w:rPr>
            </w:pPr>
            <w:r>
              <w:rPr>
                <w:color w:val="FF0000"/>
              </w:rPr>
              <w:t xml:space="preserve">Kumarica</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 xml:space="preserve">Liči</w:t>
            </w:r>
          </w:p>
        </w:tc>
        <w:tc>
          <w:tcPr>
            <w:tcW w:w="4675" w:type="dxa"/>
          </w:tcPr>
          <w:p w14:paraId="07FD18D1" w14:textId="77777777" w:rsidR="000147DB" w:rsidRPr="00B972B3" w:rsidRDefault="000147DB" w:rsidP="000147DB">
            <w:pPr>
              <w:rPr>
                <w:color w:val="FF0000"/>
                <w:spacing w:val="-4"/>
              </w:rPr>
            </w:pPr>
            <w:r>
              <w:rPr>
                <w:color w:val="FF0000"/>
              </w:rPr>
              <w:t xml:space="preserve">Buča</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 xml:space="preserve">Mandarina</w:t>
            </w:r>
          </w:p>
        </w:tc>
        <w:tc>
          <w:tcPr>
            <w:tcW w:w="4675" w:type="dxa"/>
          </w:tcPr>
          <w:p w14:paraId="1E3114C2" w14:textId="77777777" w:rsidR="000147DB" w:rsidRPr="00B972B3" w:rsidRDefault="000147DB" w:rsidP="000147DB">
            <w:pPr>
              <w:rPr>
                <w:color w:val="FF0000"/>
                <w:spacing w:val="-4"/>
              </w:rPr>
            </w:pPr>
            <w:r>
              <w:rPr>
                <w:color w:val="FF0000"/>
              </w:rPr>
              <w:t xml:space="preserve">Bučka</w:t>
            </w:r>
            <w:r>
              <w:rPr>
                <w:color w:val="FF0000"/>
              </w:rPr>
              <w:t xml:space="preserve">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 xml:space="preserve">Mango</w:t>
            </w:r>
          </w:p>
        </w:tc>
        <w:tc>
          <w:tcPr>
            <w:tcW w:w="4675" w:type="dxa"/>
          </w:tcPr>
          <w:p w14:paraId="67C4D77E" w14:textId="77777777" w:rsidR="000147DB" w:rsidRPr="00B972B3" w:rsidRDefault="000147DB" w:rsidP="000147DB">
            <w:pPr>
              <w:rPr>
                <w:color w:val="FF0000"/>
                <w:spacing w:val="-4"/>
              </w:rPr>
            </w:pPr>
            <w:r>
              <w:rPr>
                <w:color w:val="FF0000"/>
              </w:rPr>
              <w:t xml:space="preserve">Fižol</w:t>
            </w:r>
            <w:r>
              <w:rPr>
                <w:color w:val="FF0000"/>
              </w:rPr>
              <w:t xml:space="preserve">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 xml:space="preserve">Melona</w:t>
            </w:r>
          </w:p>
        </w:tc>
        <w:tc>
          <w:tcPr>
            <w:tcW w:w="4675" w:type="dxa"/>
          </w:tcPr>
          <w:p w14:paraId="64BDF842" w14:textId="77777777" w:rsidR="000147DB" w:rsidRPr="00B972B3" w:rsidRDefault="000147DB" w:rsidP="000147DB">
            <w:pPr>
              <w:rPr>
                <w:color w:val="FF0000"/>
                <w:spacing w:val="-4"/>
              </w:rPr>
            </w:pPr>
            <w:r>
              <w:rPr>
                <w:color w:val="FF0000"/>
              </w:rPr>
              <w:t xml:space="preserve">Endivija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 xml:space="preserve">Mirabela</w:t>
            </w:r>
          </w:p>
        </w:tc>
        <w:tc>
          <w:tcPr>
            <w:tcW w:w="4675" w:type="dxa"/>
          </w:tcPr>
          <w:p w14:paraId="716EDB7B" w14:textId="77777777" w:rsidR="000147DB" w:rsidRPr="00B972B3" w:rsidRDefault="000147DB" w:rsidP="000147DB">
            <w:pPr>
              <w:rPr>
                <w:color w:val="FF0000"/>
                <w:spacing w:val="-4"/>
              </w:rPr>
            </w:pPr>
            <w:r>
              <w:rPr>
                <w:color w:val="FF0000"/>
              </w:rPr>
              <w:t xml:space="preserve">Koromač</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 xml:space="preserve">Nektarina</w:t>
            </w:r>
          </w:p>
        </w:tc>
        <w:tc>
          <w:tcPr>
            <w:tcW w:w="4675" w:type="dxa"/>
          </w:tcPr>
          <w:p w14:paraId="34F5A88D" w14:textId="77777777" w:rsidR="000147DB" w:rsidRPr="00B972B3" w:rsidRDefault="000147DB" w:rsidP="000147DB">
            <w:pPr>
              <w:rPr>
                <w:color w:val="FF0000"/>
                <w:spacing w:val="-4"/>
              </w:rPr>
            </w:pPr>
            <w:r>
              <w:rPr>
                <w:color w:val="FF0000"/>
              </w:rPr>
              <w:t xml:space="preserve">Koruza</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 xml:space="preserve">Pomaranča</w:t>
            </w:r>
          </w:p>
        </w:tc>
        <w:tc>
          <w:tcPr>
            <w:tcW w:w="4675" w:type="dxa"/>
          </w:tcPr>
          <w:p w14:paraId="00AE1AA5" w14:textId="77777777" w:rsidR="000147DB" w:rsidRPr="00B972B3" w:rsidRDefault="000147DB" w:rsidP="000147DB">
            <w:pPr>
              <w:rPr>
                <w:color w:val="FF0000"/>
                <w:spacing w:val="-4"/>
              </w:rPr>
            </w:pPr>
            <w:r>
              <w:rPr>
                <w:color w:val="FF0000"/>
              </w:rPr>
              <w:t xml:space="preserve">Repa</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 xml:space="preserve">Papaja</w:t>
            </w:r>
          </w:p>
        </w:tc>
        <w:tc>
          <w:tcPr>
            <w:tcW w:w="4675" w:type="dxa"/>
          </w:tcPr>
          <w:p w14:paraId="075DB470" w14:textId="77777777" w:rsidR="000147DB" w:rsidRPr="00B972B3" w:rsidRDefault="000147DB" w:rsidP="000147DB">
            <w:pPr>
              <w:rPr>
                <w:color w:val="FF0000"/>
                <w:spacing w:val="-4"/>
              </w:rPr>
            </w:pPr>
            <w:r>
              <w:rPr>
                <w:color w:val="FF0000"/>
              </w:rPr>
              <w:t xml:space="preserve">Čebula</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 xml:space="preserve">Por</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 xml:space="preserve">Breskev</w:t>
            </w:r>
          </w:p>
        </w:tc>
        <w:tc>
          <w:tcPr>
            <w:tcW w:w="4675" w:type="dxa"/>
          </w:tcPr>
          <w:p w14:paraId="5243B15C" w14:textId="77777777" w:rsidR="000147DB" w:rsidRPr="00B972B3" w:rsidRDefault="000147DB" w:rsidP="000147DB">
            <w:pPr>
              <w:rPr>
                <w:color w:val="FF0000"/>
                <w:spacing w:val="-4"/>
              </w:rPr>
            </w:pPr>
            <w:r>
              <w:rPr>
                <w:color w:val="FF0000"/>
              </w:rPr>
              <w:t xml:space="preserve">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 xml:space="preserve">Perujsko volčje jabolko</w:t>
            </w:r>
          </w:p>
        </w:tc>
        <w:tc>
          <w:tcPr>
            <w:tcW w:w="4675" w:type="dxa"/>
          </w:tcPr>
          <w:p w14:paraId="6052EBF3" w14:textId="77777777" w:rsidR="000147DB" w:rsidRPr="00B972B3" w:rsidRDefault="000147DB" w:rsidP="000147DB">
            <w:pPr>
              <w:rPr>
                <w:color w:val="FF0000"/>
                <w:spacing w:val="-4"/>
              </w:rPr>
            </w:pPr>
            <w:r>
              <w:rPr>
                <w:color w:val="FF0000"/>
              </w:rPr>
              <w:t xml:space="preserve">Krompir</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 xml:space="preserve">Pitaja</w:t>
            </w:r>
          </w:p>
        </w:tc>
        <w:tc>
          <w:tcPr>
            <w:tcW w:w="4675" w:type="dxa"/>
          </w:tcPr>
          <w:p w14:paraId="0C08F9BD" w14:textId="77777777" w:rsidR="000147DB" w:rsidRPr="00B972B3" w:rsidRDefault="000147DB" w:rsidP="000147DB">
            <w:pPr>
              <w:rPr>
                <w:color w:val="FF0000"/>
                <w:spacing w:val="-4"/>
              </w:rPr>
            </w:pPr>
            <w:r>
              <w:rPr>
                <w:color w:val="FF0000"/>
              </w:rPr>
              <w:t xml:space="preserve">Buča velikanka</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 xml:space="preserve">Kaki</w:t>
            </w:r>
          </w:p>
        </w:tc>
        <w:tc>
          <w:tcPr>
            <w:tcW w:w="4675" w:type="dxa"/>
          </w:tcPr>
          <w:p w14:paraId="764A6ACA" w14:textId="77777777" w:rsidR="000147DB" w:rsidRPr="00B972B3" w:rsidRDefault="000147DB" w:rsidP="000147DB">
            <w:pPr>
              <w:rPr>
                <w:color w:val="FF0000"/>
                <w:spacing w:val="-4"/>
              </w:rPr>
            </w:pPr>
            <w:r>
              <w:rPr>
                <w:color w:val="FF0000"/>
              </w:rPr>
              <w:t xml:space="preserve">Radič</w:t>
            </w:r>
            <w:r>
              <w:rPr>
                <w:color w:val="FF0000"/>
              </w:rPr>
              <w:t xml:space="preserve">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 xml:space="preserve">Hruška</w:t>
            </w:r>
          </w:p>
        </w:tc>
        <w:tc>
          <w:tcPr>
            <w:tcW w:w="4675" w:type="dxa"/>
          </w:tcPr>
          <w:p w14:paraId="64399CC8" w14:textId="77777777" w:rsidR="000147DB" w:rsidRPr="00B972B3" w:rsidRDefault="000147DB" w:rsidP="000147DB">
            <w:pPr>
              <w:rPr>
                <w:color w:val="FF0000"/>
                <w:spacing w:val="-4"/>
              </w:rPr>
            </w:pPr>
            <w:r>
              <w:rPr>
                <w:color w:val="FF0000"/>
              </w:rPr>
              <w:t xml:space="preserve">Rabarbara</w:t>
            </w:r>
            <w:r>
              <w:rPr>
                <w:color w:val="FF0000"/>
              </w:rPr>
              <w:t xml:space="preserve">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 xml:space="preserve">Grenivka</w:t>
            </w:r>
          </w:p>
        </w:tc>
        <w:tc>
          <w:tcPr>
            <w:tcW w:w="4675" w:type="dxa"/>
          </w:tcPr>
          <w:p w14:paraId="44F6263F" w14:textId="77777777" w:rsidR="000147DB" w:rsidRPr="00B972B3" w:rsidRDefault="000147DB" w:rsidP="000147DB">
            <w:pPr>
              <w:rPr>
                <w:color w:val="FF0000"/>
                <w:spacing w:val="-4"/>
              </w:rPr>
            </w:pPr>
            <w:r>
              <w:rPr>
                <w:color w:val="FF0000"/>
              </w:rPr>
              <w:t xml:space="preserve">Paradižnik</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 xml:space="preserve">Jabolko</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 xml:space="preserve">Sliva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 xml:space="preserve">Grozdje</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2</cp:revision>
  <dcterms:created xsi:type="dcterms:W3CDTF">2020-07-27T11:52:00Z</dcterms:created>
  <dcterms:modified xsi:type="dcterms:W3CDTF">2020-07-30T08:24:00Z</dcterms:modified>
</cp:coreProperties>
</file>