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szCs w:val="20"/>
        </w:rPr>
        <w:t>1. ------IND- 2020 0486 L-- HR- ------ 20200812 --- --- PROJET</w:t>
      </w:r>
    </w:p>
    <w:p w14:paraId="5AB4C723" w14:textId="5E46F097" w:rsidR="007104F8" w:rsidRPr="008E1574" w:rsidRDefault="007104F8" w:rsidP="00206537">
      <w:pPr>
        <w:keepNext/>
        <w:keepLines/>
        <w:jc w:val="center"/>
        <w:rPr>
          <w:b/>
          <w:sz w:val="32"/>
          <w:szCs w:val="32"/>
        </w:rPr>
      </w:pPr>
      <w:r>
        <w:rPr>
          <w:b/>
          <w:sz w:val="32"/>
          <w:szCs w:val="32"/>
        </w:rPr>
        <w:t>Nacrt Zakona o smanjenju utjecaja određenih plastičnih proizvoda na okoliš</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Članak 1. Ciljevi</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Ovim se Zakonom nastoji spriječiti i smanjiti utjecaj određenih plastičnih proizvoda na okoliš, osobito na vodeni okoliš, i na zdravlje ljudi te se nastoji promicati prijelaz na kružno gospodarstvo s inovativnim i trajnim poslovnim modelima, proizvodima i materijalima, čime se također doprinosi učinkovitom funkcioniranju unutarnjeg tržišta.</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Članak 2. Područje primjene</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Ovaj se Zakon primjenjuje na plastične proizvode za jednokratnu uporabu navedene u Prilogu, na proizvode oksorazgradive plastike i na ribolovne alate koji sadrže plastiku.</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Riječ je o posebnom zakonu u odnosu na izmijenjeni Zakon od 21. ožujka 2012. o otpadu i resursima, u nastavku: Zakon od 21. ožujka 2012., i na izmijenjeni Zakon od 21. ožujka 2017. o ambalaži i ambalažnom otpadu.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Članak 3. Definicije</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Za potrebe ovog Zakona primjenjuju se sljedeće definicije: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„otpadni ribolovni alat” znači svaki ribolovni alat koji je obuhvaćen definicijom otpada iz članka 4. Zakona od 21. ožujka 2012., uključujući sve zasebne komponente, tvari i materijale koji su bili dio takvog ribolovnog alata u trenutku njegova odbacivanja ili su bili pričvršćeni na njega, među ostalim i kada je bio ostavljen ili izgubljen;</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„ambalaža” znači ambalaža u smislu članka 3. izmijenjenog Zakona od 21. ožujka 2017. o ambalaži i ambalažnom otpadu;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„ribolovni alat” znači svaki predmet ili komad opreme koji se upotrebljava u ribolovu ili akvakulturi za traženje, hvatanje ili uzgoj morskih bioloških resursa ili koji pluta na površini mora i upotrebljava se za privlačenje i hvatanje ili uzgoj takvih morskih bioloških resursa;</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„4. ‚stavljanje na raspolaganje na tržište” znači svaka isporuka proizvoda za distribuciju, potrošnju ili upotrebu na tržištu države članice u okviru trgovačke djelatnosti, s plaćanjem ili bez plaćanja;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5. „stavljanje na tržište” znači prvo stavljanje proizvoda na luksemburško tržište;</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„usklađena norma” znači usklađena norma u smislu članka 2. točke 1. podtočke (c) Uredbe (EU) br. 1025/2012;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7. „plastika” znači materijal koji se sastoji od polimera kako je definiran u članku 3. točki 5. Uredbe (EZ) br. 1907/2006, kojemu se mogu dodati aditivi ili druge tvari i koji može funkcionirati kao glavna strukturna komponenta konačnih proizvoda, uključujući gumu na osnovi polimera te plastiku na biološkoj osnovi i biorazgradivu plastiku neovisno o tome je li dobivena iz biomase ili će se biološki razgraditi tijekom vremena.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Ovom definicijom nisu obuhvaćeni prirodni polimeri koji nisu kemijski izmijenjeni;</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„biorazgradiva plastika” znači plastika koja se može fizički i biološki raspasti, tako da se na kraju razgradi na ugljikov dioksid (CO</w:t>
      </w:r>
      <w:r>
        <w:rPr>
          <w:rFonts w:asciiTheme="minorHAnsi" w:hAnsiTheme="minorHAnsi"/>
          <w:b w:val="0"/>
          <w:sz w:val="24"/>
          <w:szCs w:val="24"/>
          <w:vertAlign w:val="subscript"/>
        </w:rPr>
        <w:t>2</w:t>
      </w:r>
      <w:r>
        <w:rPr>
          <w:rFonts w:asciiTheme="minorHAnsi" w:hAnsiTheme="minorHAnsi"/>
          <w:b w:val="0"/>
          <w:sz w:val="24"/>
          <w:szCs w:val="24"/>
        </w:rPr>
        <w:t>), biomasu i vodu i da se, u skladu s europskim normama za ambalažu, može oporabiti kompostiranjem i anaerobnom digestijom;</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 „oksorazgradiva plastika” znači plastični materijali kojima su dodani aditivi koji oksidacijom dovode do fragmentacije plastičnog materijala u mikrofragmente ili do kemijske razgradnje;</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„duhanski proizvodi” znači duhanski proizvodi kako su definirani u članku 2. točki 1. podtočki (a) izmijenjenog Zakona o 11. kolovoza 2006. o suzbijanju pušenja;</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11. „plastični proizvod za jednokratnu uporabu” znači proizvod koji je u cijelosti ili djelomično izrađen od plastike te nije osmišljen, dizajniran ili stavljen na tržište tako da tijekom svojeg životnog vijeka podnese višekratna kruženja ili višekratne cikluse uporabe na način da se vrati proizvođaču na ponovno punjenje ili da se ponovno upotrijebi u istu svrhu u koju je osmišljen;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primjenjuju se definicije pojmova „otpad”, „skupljanje”, „odvojeno skupljanje”, „obrada”, „proizvođač proizvoda”, „sustav proširene odgovornosti proizvođača” iz članka 4. izmijenjenog Zakona od 21. ožujka 2012.</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Članak 4. Smanjenje potrošnje</w:t>
      </w:r>
    </w:p>
    <w:p w14:paraId="34312720" w14:textId="69968051" w:rsidR="007104F8" w:rsidRPr="00797794" w:rsidRDefault="007104F8" w:rsidP="007104F8">
      <w:pPr>
        <w:pStyle w:val="Article"/>
        <w:numPr>
          <w:ilvl w:val="0"/>
          <w:numId w:val="0"/>
        </w:numPr>
        <w:spacing w:before="240"/>
        <w:rPr>
          <w:rFonts w:asciiTheme="minorHAnsi" w:hAnsiTheme="minorHAnsi" w:cs="TimesNewRoman"/>
          <w:b w:val="0"/>
          <w:spacing w:val="-4"/>
          <w:sz w:val="24"/>
          <w:szCs w:val="24"/>
        </w:rPr>
      </w:pPr>
      <w:r w:rsidRPr="00797794">
        <w:rPr>
          <w:rFonts w:asciiTheme="minorHAnsi" w:hAnsiTheme="minorHAnsi"/>
          <w:b w:val="0"/>
          <w:spacing w:val="-4"/>
          <w:sz w:val="24"/>
          <w:szCs w:val="24"/>
        </w:rPr>
        <w:t xml:space="preserve">Proizvođači proizvoda poduzimaju mjere kojima se do 2026. u usporedbi s 2022. postiže mjerljivo kvantitativno smanjenje potrošnje plastičnih proizvoda za jednokratnu uporabu navedenih u dijelu A Priloga. Za predmetno razdoblje to smanjenje mora iznositi najmanje 20 % u odnosu na jedinice stavljene na tržište. Od 1. siječnja 2026. svake godine treba ostvariti smanjenje od najmanje 10 % u odnosu na količine stavljene na tržište tijekom prethodne godine. Proizvođači proizvoda za provedbu ove obveze moraju zadužiti ovlašteno tijelo u skladu s člankom 19. Zakona od 21. ožujka 2012.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Ministar zadužen za okoliš, u nastavku: ministar, osigurava koordiniranje mjera u cilju postizanja ambicioznog i trajnog smanjenja potrošnje plastičnih proizvoda za jednokratnu uporabu navedenih u dijelu A Priloga, u skladu s općim ciljevima politike Unije o otpadu, a posebno sprečavanjem nastanka otpada, kako bi se ostvario znatan preokret trendova rasta potrošnje.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Uprava za okoliš osigurava praćenje plastičnih proizvoda za jednokratnu uporabu navedenih u dijelu A Priloga koji se stavljaju na tržište i poduzete mjere smanjenja.</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szCs w:val="24"/>
        </w:rPr>
        <w:lastRenderedPageBreak/>
        <w:t>U tu svrhu ovlašteno tijelo u okviru godišnjeg izvještaja iz članka 35. Zakona od 21. ožujka 2012. izvještava o količinama plastičnih proizvoda za jednokratnu uporabu iz dijela A Priloga stavljenih na raspolaganje na tržište tijekom godine.</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Članak 5. Ograničenja u vezi sa stavljanjem na tržište</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Zabranjeno je stavljanje na tržište plastičnih proizvoda za jednokratnu uporabu navedenih u dijelu B Priloga i proizvoda od oksorazgradive plastike.</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Članak 6. Zahtjevi u pogledu proizvoda</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 Plastični proizvodi za jednokratnu uporabu navedeni u dijelu C Priloga koji imaju čepove i poklopce izrađene od plastike mogu se staviti na tržište samo ako ti čepovi i poklopci ostaju pričvršćeni za spremnike tijekom faze predviđene uporabe proizvoda.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Ne smatra se da su metalni čepovi ili poklopci s plastičnim brtvama izrađeni od plastike.</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U pogledu boca za napitke navedene u dijelu F Priloga, primjenjuju se sljedeći zahtjevi: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 xml:space="preserve">1. od 2025. boce za napitke navedene u dijelu F Priloga koje su proizvedene od polietilen-tereftalata kao glavne sastavnice („PET boce”) sadržavaju najmanje 25 % reciklirane plastike, izračunano kao prosjek za sve PET boce koje na tržište stavlja </w:t>
      </w:r>
      <w:bookmarkStart w:id="1" w:name="_Hlk25242138"/>
      <w:r>
        <w:rPr>
          <w:rFonts w:asciiTheme="minorHAnsi" w:hAnsiTheme="minorHAnsi"/>
          <w:b w:val="0"/>
          <w:sz w:val="24"/>
          <w:szCs w:val="24"/>
        </w:rPr>
        <w:t>isti proizvođač</w:t>
      </w:r>
      <w:bookmarkEnd w:id="1"/>
      <w:r>
        <w:rPr>
          <w:rFonts w:asciiTheme="minorHAnsi" w:hAnsiTheme="minorHAnsi"/>
          <w:b w:val="0"/>
          <w:sz w:val="24"/>
          <w:szCs w:val="24"/>
        </w:rPr>
        <w:t>; i</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od 2030. boce za napitke navedene u dijelu F Priloga sadržavaju najmanje 30 % reciklirane plastike, izračunano kao prosjek za sve takve boce za napitke stavljene koje na tržište stavlja isti proizvođač.</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U tu svrhu ovlašteno tijelo u skladu s člankom 19. Zakona od 21. ožujka 2012. u okviru godišnjeg izvješća iz članka 35. istog Zakona izvještava o količinama PET boca stavljenih na tržište tijekom prethodne godine i o prosječno postotku reciklirane plastike tih boca. Ako ne postoji provedbeni akt Europske unije, načine izračuna i provjere ciljeva utvrđuje Uprava za okoliš.</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 xml:space="preserve">Članak 7. Zahtjevi u pogledu označivanja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Svaki plastični proizvod za jednokratnu uporabu naveden u dijelu D Priloga koji se stavlja na tržište na ambalaži ili na samom proizvodu mora biti označen vidljivom, čitljivom i neizbrisivom oznakom kojom se potrošače obavješćuje o sljedećim elementima:</w:t>
      </w:r>
    </w:p>
    <w:p w14:paraId="2A620703" w14:textId="5AE2E52C" w:rsidR="007104F8" w:rsidRPr="00797794" w:rsidRDefault="007104F8" w:rsidP="007104F8">
      <w:pPr>
        <w:pStyle w:val="Article"/>
        <w:numPr>
          <w:ilvl w:val="0"/>
          <w:numId w:val="0"/>
        </w:numPr>
        <w:spacing w:before="240"/>
        <w:ind w:left="494" w:firstLine="357"/>
        <w:rPr>
          <w:rFonts w:asciiTheme="minorHAnsi" w:hAnsiTheme="minorHAnsi" w:cs="TimesNewRoman"/>
          <w:b w:val="0"/>
          <w:spacing w:val="-4"/>
          <w:sz w:val="24"/>
          <w:szCs w:val="24"/>
        </w:rPr>
      </w:pPr>
      <w:r w:rsidRPr="00797794">
        <w:rPr>
          <w:rFonts w:asciiTheme="minorHAnsi" w:hAnsiTheme="minorHAnsi"/>
          <w:b w:val="0"/>
          <w:spacing w:val="-4"/>
          <w:sz w:val="24"/>
          <w:szCs w:val="24"/>
        </w:rPr>
        <w:t>1. odgovarajućim mogućnostima u pogledu gospodarenja otpadom za proizvod ili načinima zbrinjavanja otpada koje za taj proizvod treba izbjegavati, u skladu s hijerarhijom otpada; i</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2. prisutnosti plastike u proizvodu te posljedičnom negativnom utjecaju koji na okoliš ima odbacivanje smeća ili drugo neodgovarajuće zbrinjavanje otpada od proizvoda.</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Odredbama ovog članka koje se odnose na duhanske proizvode dopunjuju se odredbe utvrđene u izmijenjenom Zakonu od 11. kolovoza 2006. o nadzoru nad duhanom.</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lastRenderedPageBreak/>
        <w:t>Članak 8. Proširena odgovornost proizvođača</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Za sve plastične proizvode za jednokratnu uporabu navedene u dijelu E Priloga i za ribolovni alat koji sadržava plastiku uspostavljaju se sustavi proširene odgovornost proizvođača u skladu s odredbama iz Zakona od 21. ožujka 2012.</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Proizvođači plastičnih proizvoda za jednokratnu uporabu navedeni u odjeljku I. dijela E Priloga pokrivaju troškove u skladu s odredbama o proširenoj odgovornosti proizvođača iz Zakona od 21. ožujka 2012. i Zakona od 21. ožujka 2017. o ambalaži i ambalažnom otpadu i ako nisu već uključeni, pokrivaju sljedeće troškove: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troškove mjera za podizanje razine osviještenosti iz članka 10. u vezi s tim proizvodima;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troškove skupljanja otpada od tih proizvoda koji su odloženi u javnim sustavima skupljanja otpada, uključujući infrastrukturu i njezino funkcioniranje, te naknadnog prijevoza i obrade tog otpada; i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troškove čišćenja smeća od tih proizvoda i naknadnog prijevoza i obrade tog smeća.</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szCs w:val="24"/>
        </w:rPr>
        <w:t xml:space="preserve">(3) Proizvođači plastičnih proizvoda za jednokratnu uporabu navedenih u odjeljcima II. </w:t>
      </w:r>
      <w:bookmarkEnd w:id="2"/>
      <w:r>
        <w:rPr>
          <w:rFonts w:asciiTheme="minorHAnsi" w:hAnsiTheme="minorHAnsi"/>
          <w:b w:val="0"/>
          <w:sz w:val="24"/>
          <w:szCs w:val="24"/>
        </w:rPr>
        <w:t>i III. dijela E Priloga pokrivaju barem sljedeće troškove</w:t>
      </w:r>
      <w:bookmarkStart w:id="3" w:name="_Hlk33179167"/>
      <w:r>
        <w:rPr>
          <w:rFonts w:asciiTheme="minorHAnsi" w:hAnsiTheme="minorHAnsi"/>
          <w:b w:val="0"/>
          <w:sz w:val="24"/>
          <w:szCs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troškove mjera za podizanje razine osviještenosti iz članka 10. u vezi s tim proizvodima;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troškove čišćenja smeća od tih proizvoda i naknadnog prijevoza i obrade tog smeća; i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(3) troškove prikupljanja podataka i izvješćivanja u skladu s člankom 19. Zakona od 21. ožujka 2012. </w:t>
      </w:r>
    </w:p>
    <w:p w14:paraId="023DC410" w14:textId="77777777" w:rsidR="007104F8" w:rsidRPr="00797794"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797794">
        <w:rPr>
          <w:rFonts w:asciiTheme="minorHAnsi" w:hAnsiTheme="minorHAnsi"/>
          <w:b w:val="0"/>
          <w:spacing w:val="-4"/>
          <w:sz w:val="24"/>
          <w:szCs w:val="24"/>
        </w:rPr>
        <w:t>U pogledu plastičnih proizvoda za jednokratnu uporabu navedenih u odjeljku III. dijela E Priloga, proizvođači uz to pokrivaju i troškove skupljanja otpada od tih proizvoda koji su odbačeni u javnim sustavima skupljanja otpada, uključujući infrastrukturu i njezino funkcioniranje, te naknadnog prijevoza i obrade tog otpada. Ti troškovi uključuju uspostavu posebne infrastrukture za skupljanje otpada od tih proizvoda, kao što su odgovarajući spremnici za otpad na mjestima na kojima se uobičajeno najviše smeća odbacuje u okoliš.</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(4) Proizvođači plastičnih proizvoda za jednokratnu uporabu navedenih u odjeljku III. dijela E Priloga moraju poduzeti potrebne mjere za sprečavanje ostavljanja, odbacivanja i nekontroliranog gospodarenja proizvodima koji su postali otpad.</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Od 1. siječnja 2024. svake godine treba ostvariti smanjenje od najmanje 10 % u odnosu na količine stavljene odbačene tijekom prethodne godine. Nadležna uprava uspostavlja i objavljuje metodologiju kvantificiranja odbačenih količina i provjeru smanjenja.</w:t>
      </w:r>
    </w:p>
    <w:p w14:paraId="2FA016B7" w14:textId="77777777" w:rsidR="007104F8" w:rsidRPr="008E1574" w:rsidRDefault="007104F8" w:rsidP="00797794">
      <w:pPr>
        <w:pStyle w:val="Article"/>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(5) Troškovi iz stavaka 2. i 3. koje treba pokriti ne smiju premašiti troškove koji su potrebni za isplativo pružanje usluga navedenih u tim stavcima i transparentno se utvrđuju među dotičnim akterima. Troškovi čišćenja smeća ograničeni su na aktivnosti koje provode tijela javne vlasti ili koje se provode u njihovo ime. Metodologija izračuna izrađuje se na način kojim se omogućuje da se troškovi čišćenja smeća utvrde na proporcionalan način. Kako bi se administrativni troškovi sveli na najmanju moguću mjeru, mogu se odrediti financijski doprinosi za pokriće troškova čišćenja smeća utvrđivanjem odgovarajućih višegodišnjih fiksnih iznosa.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Proizvođači s poslovnim nastanom u drugoj državi članici Europske unije koji stavljaju proizvode na luksemburško tržište ovlašteni su imenovati pravnu ili fizičku osobu s poslovnim nastanom na državnom području ili u drugoj državi kao ovlaštenog predstavnika za potrebe ispunjavanja obveza proizvođača u pogledu programâ proširene odgovornosti proizvođača.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(7) Svaki proizvođač s poslovnim nastanom u Velikom Vojvodstvu Luksemburg koji prodaje plastične proizvode za jednokratnu uporabu navedene u dijelu E Priloga i ribolovni alat koji sadržava plastiku u drugoj državi članici u kojoj nema poslovni nastan imenuje ovlaštenog predstavnika u toj državi članici Europske unije. Ovlašteni predstavnik jest osoba koja je odgovorna za ispunjavanje obveza tog proizvođača na temelju ovog Zakona na državnom području te druge države članice Europske unije.</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(8) Kada je riječ o sustavima proširene odgovornosti proizvođača za ribolovni alat koji sadržava plastiku, proizvođači ribolovnog alata koji sadrži plastiku moraju pokrivati troškove odvojenog skupljanja otpadnog ribolovnog alata koji sadržava plastiku i odložen je u poseban sustav skupljanja, kao i troškove njihova prijevoza i naknadne obrade.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Proizvođači pokrivaju i troškove mjera za podizanje razine osviještenosti iz članka 10. koje se odnose na ribolovni alat koji sadržava plastiku.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Članak 9. Odvojeno skupljanje</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U svrhu recikliranja, odvojeno skupljena količina otpadnih plastičnih proizvoda iz dijela F Priloga mora iznositi: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do 2025., </w:t>
      </w:r>
      <w:bookmarkStart w:id="4" w:name="_Hlk25246527"/>
      <w:r>
        <w:rPr>
          <w:rFonts w:asciiTheme="minorHAnsi" w:hAnsiTheme="minorHAnsi"/>
          <w:b w:val="0"/>
          <w:sz w:val="24"/>
          <w:szCs w:val="24"/>
        </w:rPr>
        <w:t>77 %, izraženo u masi, ukupne količine tih proizvoda nastalih tijekom određene godine, uključujući smeće</w:t>
      </w:r>
      <w:bookmarkEnd w:id="4"/>
      <w:r>
        <w:rPr>
          <w:rFonts w:asciiTheme="minorHAnsi" w:hAnsiTheme="minorHAnsi"/>
          <w:b w:val="0"/>
          <w:sz w:val="24"/>
          <w:szCs w:val="24"/>
        </w:rPr>
        <w:t xml:space="preserve">; </w:t>
      </w:r>
    </w:p>
    <w:p w14:paraId="39395F5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(b) do 2029., 90 %, izraženo u masi, ukupne količine tih proizvoda nastalih tijekom određene godine, uključujući smeće.</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Članak 10. Mjere za podizanje razine osviještenosti</w:t>
      </w:r>
    </w:p>
    <w:p w14:paraId="148EAE3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Uprava za okoliš i Uprava za gospodarenje vodom, svaka u svojem području nadležnosti, osiguravaju obavješćivanje potrošača i poticanje odgovornog ponašanja potrošača kako bi se postiglo smanjenje odbacivanja smeća od proizvoda pokrivenih ovim Zakonom te osiguravaju obavješćivanje potrošača plastičnih proizvoda za jednokratnu uporabu navedenih u dijelu G Priloga i korisnika ribolovnog alata koji sadržava plastiku o sljedećem: </w:t>
      </w:r>
    </w:p>
    <w:p w14:paraId="40BDFCF9" w14:textId="77777777" w:rsidR="007104F8" w:rsidRPr="00797794"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797794">
        <w:rPr>
          <w:rFonts w:asciiTheme="minorHAnsi" w:hAnsiTheme="minorHAnsi"/>
          <w:b w:val="0"/>
          <w:spacing w:val="-4"/>
          <w:sz w:val="24"/>
          <w:szCs w:val="24"/>
        </w:rPr>
        <w:lastRenderedPageBreak/>
        <w:t xml:space="preserve">1. dostupnosti alternativa koje se mogu ponovno upotrijebiti, sustavima za ponovnu uporabu i mogućnostima u pogledu gospodarenja otpadom za te plastične proizvode za jednokratnu uporabu i ribolovni alat koji sadržava plastiku, kao i o najboljim praksama dobroga gospodarenja otpadom koje se primjenjuju u skladu s člankom 10. Zakona od 21. ožujka 2012.;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posljedicama koje za okoliš, a posebno morski okoliš, ima odbacivanje smeća u okoliš i drugo neodgovarajuće zbrinjavanje otpada od tih plastičnih proizvoda za jednokratnu uporabu i ribolovnog alata koji sadržava plastiku; i</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posljedicama koje neodgovarajuće zbrinjavanje otpada od tih plastičnih proizvoda za jednokratnu uporabu ima za kanalizacijsku mrežu.</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Članak 11. Koordiniranje mjera</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Ne dovodeći u pitanje članak 4. stavak 1. prvi podstavak, mjere poduzete u okviru ovog Zakona sastavni su dio programa mjera u skladu s izmijenjenim Zakonom od 19. prosinca 2008. o vodi i planovima gospodarenja otpadom i programima sprečavanja otpada uspostavljenih u skladu sa Zakonom od 21. ožujka 2012. i moraju biti usklađene s tim programima i planovima.</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 xml:space="preserve">Mjere poduzete u člancima 4. do 9. moraju biti usklađene s odredbama o hrani kako bi se osiguralo da higijena i sigurnost hrane ne budu dovedene u pitanje.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Uprava za okoliš i Uprava za zdravlje, svaka u svojem području nadležnosti, osiguravaju da se potiče uporaba održivih alternativa plastici za jednokratnu uporabu za materijale koji dolaze u dodir s hranom.</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Članak 12. Specifikacije i smjernice za plastične proizvode za jednokratnu uporabu</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Kako bi se utvrdilo treba li za potrebe ovog Zakona spremnik za hranu smatrati plastičnim proizvodom za jednokratnu uporabu, odlučujuću ulogu uz kriterije za spremnike za hranu koji su navedeni u Prilogu ima tendencija njegova odbacivanja u okoliš kao smeća zbog volumena ili veličine, posebno spremnika za pojedinačne porcije.</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t>Članak 13. Upravne mjere</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U slučaju nepridržavanja odredbi iz članka 5., članka 6. stavka 1. i stavka 2., točaka 1. i 2., članka 7. i članka 9., ministar može: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proizvođaču ili ovlaštenom tijelu dati rok u kojem potonji mora postupiti u skladu s tim odredbama, a koji ne smije biti dulji od dvije godine;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u cijelosti ili djelomično obustaviti djelatnost proizvođača ili rad objekta privremenom mjerom ili u cijelosti ili djelomično dati zatvoriti objekt i postaviti pečate.</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lastRenderedPageBreak/>
        <w:t xml:space="preserve">(2) Svaka zainteresirana strana može zatražiti provedbu mjera iz stavka 1.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Mjere iz stavka 1. uklanjanju se kada proizvođač ili ovlašteno tijelo postupe u skladu s odredbama.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t>Članak 14. Posebne odredbe</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Primjenjuju se sljedeće odredbe Zakona od 21. ožujka 2012.:</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članci 44., 45. i 46. o istraživanju i utvrđivanju prekršaja, ovlastima i pravima nadzora; i</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članak 50. stavak 2. o pravu na tužbu ovlaštenih ekoloških udruga.</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Članak 15. Prilog</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Prilog se može izmijeniti uredbom Velikog vojvode radi njegove prilagodbe promjenama zakonodavstva Europske unije u tom području.</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Članak 16. Kaznene sankcije</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Kaznom zatvora od osam dana do tri godine i novčanom kaznom u iznosu od 251 do 750 000 EUR ili samo jednom od navedenih kazni kažnjavaju se kaznena djela iz članka 5., članka 6. stavka 1., podstavka 1. i stavka 2., točaka 1. i 2., članka 7. stavka 1., članka 8. stavka 4. i članka 9.</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 xml:space="preserve">Iste sankcije primjenjuju se u slučaju kršenja ili u slučaju nepoštivanja upravnih mjera donesenih na temelju članka 13.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Članak 17. Upravne novčane kazne</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szCs w:val="24"/>
        </w:rPr>
        <w:t>Ministar može odrediti upravnu novčanu kaznu u iznosu od 250 EUR do 10 000 EUR u slučaju kršenja članka 4. stavka 4. i članka 6. stavka 2. podstavka 2.</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szCs w:val="24"/>
        </w:rPr>
        <w:t xml:space="preserve">Novčane kazne moraju se platiti u roku od dva mjeseca od dostavljanja pisane obavijesti.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t>Upravne novčane kazne naplaćuje Uprava za registracije, domene i PDV. Naplata se provodi kao u slučaju registracijskih pristojbi.</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Članak 18. Žalba</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Protiv odluka donesenih na temelju ovog Zakona može se podnijeti žalba radi preinake pred Upravnim sudom. Ta se žalba mora podnijeti u roku od 40 dana od datuma dostave odluke, u protivnom se to pravo gubi.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lastRenderedPageBreak/>
        <w:t>Članak 19. Stupanje na snagu</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Ovaj Zakon stupa na snagu 3. srpnja 2021.</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Međutim, odredbe članka 6. stavka 1. stupaju na snagu tek 3. srpnja 2024., a odredbe članka 8. stupaju na snagu 31. prosinca 2026., osim za plastične proizvode za jednokratnu uporabu navedene u odjeljku III. dijela E Priloga, za koje stupaju na snagu 5. siječnja 2023.</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t>Prilog</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DIO 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Plastični proizvodi za jednokratnu uporabu obuhvaćeni člankom 4. o smanjenju potrošnje</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Čaše za napitke, uključujući njihove čepove i poklopce;</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Spremnici za hranu, tj. posude kao što su kutije, s poklopcem ili bez njega, koji se upotrebljavaju za držanje hrane:</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koja je namijenjena neposrednoj konzumaciji na licu mjesta ili kasnije;</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koja se obično konzumira iz posude i</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(c) koja je spremna za konzumaciju bez ikakve daljnje pripreme, primjerice pečenja, kuhanja ili zagrijavanja;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uključujući spremnike za hranu koji se upotrebljavaju za brzu hranu ili druge obroke spremne za neposrednu konzumaciju, osim spremnika za napitke, tanjura te vrećica i omota koji sadržavaju hranu.</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DIO B</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Plastični proizvodi za jednokratnu uporabu obuhvaćeni člankom 5. o ograničenjima u vezi sa stavljanjem na tržište</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Štapići za uši, osim ako su obuhvaćeni područjem primjene Direktive Vijeća 90/385/EEZ</w:t>
      </w:r>
      <w:r>
        <w:rPr>
          <w:rStyle w:val="FootnoteReference"/>
          <w:rFonts w:cs="TimesNewRoman"/>
          <w:sz w:val="24"/>
          <w:szCs w:val="24"/>
          <w:lang w:val="fr-LU" w:eastAsia="fr-BE"/>
        </w:rPr>
        <w:footnoteReference w:id="1"/>
      </w:r>
      <w:r>
        <w:rPr>
          <w:sz w:val="24"/>
          <w:szCs w:val="24"/>
        </w:rPr>
        <w:t xml:space="preserve"> ili Direktive Vijeća 93/42/EEZ</w:t>
      </w:r>
      <w:r>
        <w:rPr>
          <w:rStyle w:val="FootnoteReference"/>
          <w:rFonts w:cs="TimesNewRoman"/>
          <w:sz w:val="24"/>
          <w:szCs w:val="24"/>
          <w:lang w:val="fr-LU" w:eastAsia="fr-BE"/>
        </w:rPr>
        <w:footnoteReference w:id="2"/>
      </w:r>
      <w:r>
        <w:rPr>
          <w:sz w:val="24"/>
          <w:szCs w:val="24"/>
        </w:rPr>
        <w:t>;</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Pribor za jelo (vilice, noževi, žlice, štapići za jelo);</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Tanjuri;</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Slamke, osim ako su obuhvaćene područjem primjene Direktive 90/385/EEZ ili Direktive 93/42/EEZ;</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Štapići za miješanje napitaka;</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Štapići namijenjeni pričvršćivanju na balone i njihovu pridržavanju, osim balona za industrijske ili druge profesionalne namjene i uporabe koji se ne dijele potrošačima, uključujući mehanizme takvih štapića;</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(7) Spremnici za hranu izrađeni od ekspandiranog polistirena, tj. posude kao što su kutije, s poklopcem ili bez njega, koji se upotrebljavaju za držanje hrane:</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koja je namijenjena neposrednoj konzumaciji na licu mjesta ili kasnije;</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koja se obično konzumira iz posude i</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koja je spremna za konzumaciju bez ikakve daljnje pripreme, primjerice pečenja, kuhanja ili zagrijavanja;</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uključujući spremnike za hranu koji se upotrebljavaju za brzu hranu ili druge obroke spremne za neposrednu konzumaciju, osim spremnika za napitke, tanjura te vrećica i omota koji sadržavaju;</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Spremnici za napitke izrađeni od ekspandiranog polistirena, uključujući njihove čepove i poklopce;</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Pr="00797794" w:rsidRDefault="007104F8" w:rsidP="007104F8">
      <w:pPr>
        <w:autoSpaceDE w:val="0"/>
        <w:autoSpaceDN w:val="0"/>
        <w:adjustRightInd w:val="0"/>
        <w:spacing w:after="0" w:line="240" w:lineRule="auto"/>
        <w:rPr>
          <w:rFonts w:cs="TimesNewRoman"/>
          <w:spacing w:val="-4"/>
          <w:sz w:val="24"/>
          <w:szCs w:val="24"/>
        </w:rPr>
      </w:pPr>
      <w:r w:rsidRPr="00797794">
        <w:rPr>
          <w:spacing w:val="-4"/>
          <w:sz w:val="24"/>
          <w:szCs w:val="24"/>
        </w:rPr>
        <w:t>(9) Čaše za napitke izrađene od ekspandiranog polistirena, uključujući njihove čepove i poklopce.</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DIO C</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Plastični proizvodi za jednokratnu uporabu obuhvaćeni člankom 6. stavkom 1. o zahtjevima u pogledu proizvoda</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Spremnici za napitke zapremine do tri litre, tj. posude za tekućine, kao što su boce za napitke, uključujući njihove čepove i poklopce, te višeslojna (kompozitna) ambalaža za napitke, uključujući njihove čepove i poklopce, ali ne i:</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staklene ili metalne spremnike za napitke s čepovima i poklopcima od plastike;</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(b) spremnike za napitke koji su namijenjeni i koji se upotrebljavaju za hranu za posebne medicinske potrebe, kako je definirana u članku 2. točki (g) Uredbe (EU) br. 609/2013 Europskog parlamenta i Vijeća</w:t>
      </w:r>
      <w:r>
        <w:rPr>
          <w:rStyle w:val="FootnoteReference"/>
          <w:rFonts w:cs="TimesNewRoman"/>
          <w:sz w:val="24"/>
          <w:szCs w:val="24"/>
          <w:lang w:val="fr-LU" w:eastAsia="fr-BE"/>
        </w:rPr>
        <w:footnoteReference w:id="3"/>
      </w:r>
      <w:r>
        <w:rPr>
          <w:sz w:val="24"/>
          <w:szCs w:val="24"/>
        </w:rPr>
        <w:t>, koja je u tekućem stanju.</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DIO D</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Plastični proizvodi za jednokratnu uporabu obuhvaćeni člankom 7. o zahtjevima u pogledu označivanja</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Higijenski ulošci, tamponi i aplikatori za tampone;</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Vlažne maramice, tj. prethodno ovlažene maramice za osobnu njegu i uporabu u domaćinstvu;</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Duhanski proizvodi s filtrom te filtri koji se stavljaju na tržište za uporabu u kombinaciji s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duhanskim proizvodima;</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szCs w:val="24"/>
        </w:rPr>
        <w:t>(4) Čaše za napitke.</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DIO E</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Plastični proizvodi za jednokratnu uporabu obuhvaćeni člankom 8. o proširenoj odgovornosti proizvođača</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(1) Spremnici za hranu, tj. posude kao što su kutije, s poklopcem ili bez njega, koji se upotrebljavaju za držanje hrane:</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koja je namijenjena neposrednoj konzumaciji na licu mjesta ili kasnije;</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koja se obično konzumira iz posude i</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koja je spremna za konzumaciju bez ikakve daljnje pripreme, primjerice pečenja, kuhanja ili zagrijavanja;</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uključujući spremnike za hranu koji se upotrebljavaju za brzu hranu ili druge obroke spremne za neposrednu konzumaciju, osim spremnika za napitke, tanjura te vrećica i omota koji sadržavaju;</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Vrećice i omoti izrađeni od savitljivog materijala koji sadržavaju hranu namijenjenu konzumaciji izravno iz vrećice ili omota bez ikakve daljnje pripreme;</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Spremnici za napitke zapremine do tri litre, tj. posude za tekućine, kao što su boce za napitke, uključujući njihove čepove i poklopce, te višeslojna (kompozitna) ambalaža za napitke, uključujući njihove čepove i poklopce, ali ne i staklene ili metalne spremnike za napitke s čepovima i poklopcima od plastike;</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Čaše za napitke, uključujući njihove čepove i poklopce;</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Lagane plastične vrećice za nošenje kako su definirane u članku 3. točki 1.c Direktive 94/62/EZ.</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t>II. Plastični proizvodi za jednokratnu uporabu obuhvaćeni člankom 8. stavkom 3. o proširenoj odgovornosti proizvođača</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Vlažne maramice, tj. prethodno ovlažene maramice za osobnu njegu i uporabu u domaćinstvu;</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Baloni, osim balona za industrijske ili druge profesionalne namjene i uporabe, koji se ne dijele potrošačima.</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III. Drugi plastični proizvodi za jednokratnu uporabu obuhvaćeni člankom 8. stavkom 3. o proširenoj odgovornosti proizvođača</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szCs w:val="24"/>
        </w:rPr>
        <w:t>Duhanski proizvodi s filtrom te filtri koji se stavljaju na tržište za uporabu u kombinaciji s duhanskim proizvodima.</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DIO F</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Plastični proizvodi za jednokratnu uporabu obuhvaćeni člankom 9. o odvojenom skupljanju i člankom 6. stavkom 2. o zahtjevima u pogledu proizvoda</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Boce za napitke zapremine do tri litre, uključujući njihove čepove i poklopce, ali ne i:</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szCs w:val="24"/>
        </w:rPr>
        <w:t>(a) staklene ili metalne boce za napitke s čepovima i poklopcima od plastike;</w:t>
      </w:r>
    </w:p>
    <w:p w14:paraId="7DFFBF5A" w14:textId="77777777" w:rsidR="007104F8" w:rsidRPr="00797794" w:rsidRDefault="007104F8" w:rsidP="007104F8">
      <w:pPr>
        <w:autoSpaceDE w:val="0"/>
        <w:autoSpaceDN w:val="0"/>
        <w:adjustRightInd w:val="0"/>
        <w:spacing w:after="0" w:line="240" w:lineRule="auto"/>
        <w:rPr>
          <w:rFonts w:cs="TimesNewRoman"/>
          <w:spacing w:val="-4"/>
          <w:sz w:val="24"/>
          <w:szCs w:val="24"/>
        </w:rPr>
      </w:pPr>
      <w:r w:rsidRPr="00797794">
        <w:rPr>
          <w:spacing w:val="-4"/>
          <w:sz w:val="24"/>
          <w:szCs w:val="24"/>
        </w:rPr>
        <w:t>(b) boce za napitke koje su namijenjene i koje se upotrebljavaju za hranu za posebne medicinske potrebe, kako je definirana u članku 2. točki (g) Uredbe (EU) br. 609/2013, koja je u tekućem stanju.</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DIO G</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Plastični proizvodi za jednokratnu uporabu obuhvaćeni člankom 10. o podizanju razine osviještenosti</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Spremnici za hranu, tj. posude kao što su kutije, s poklopcem ili bez njega, koji se upotrebljavaju za držanje hrane:</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(a) koja je namijenjena neposrednoj konzumaciji na licu mjesta ili kasnije;</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(b) koja se obično konzumira iz posude i</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(c) koja je spremna za konzumaciju bez ikakve daljnje pripreme, primjerice pečenja, kuhanja ili zagrijavanja;</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uključujući spremnike za hranu koji se upotrebljavaju za brzu hranu ili druge obroke spremne za neposrednu konzumaciju, osim spremnika za napitke, tanjura te vrećica i omota koji sadržavaju;</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Vrećice i omoti izrađeni od savitljivog materijala koji sadržavaju hranu namijenjenu konzumaciji izravno iz vrećice ili omota bez ikakve daljnje pripreme;</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Spremnici za napitke zapremine do tri litre, tj. posude za tekućine, kao što su boce za napitke, uključujući njihove čepove i poklopce, te višeslojna (kompozitna) ambalaža za napitke, uključujući njihove čepove i poklopce, ali ne i staklene ili metalne spremnike za napitke s čepovima i poklopcima od plastike;</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Čaše za napitke, uključujući njihove čepove i poklopce;</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Duhanski proizvodi s filtrom te filtri koji se stavljaju na tržište za uporabu u kombinaciji s duhanskim proizvodima;;</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Vlažne maramice, tj. prethodno ovlažene maramice za osobnu njegu i uporabu u domaćinstvu;</w:t>
      </w:r>
    </w:p>
    <w:p w14:paraId="73D3BDE8"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(7) Baloni, osim balona za industrijske ili druge profesionalne namjene i uporabe, koji se ne dijele potrošačima;</w:t>
      </w:r>
    </w:p>
    <w:p w14:paraId="55AE158C"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27D7913" w14:textId="77777777" w:rsidR="007104F8" w:rsidRPr="00797794" w:rsidRDefault="007104F8" w:rsidP="007104F8">
      <w:pPr>
        <w:autoSpaceDE w:val="0"/>
        <w:autoSpaceDN w:val="0"/>
        <w:adjustRightInd w:val="0"/>
        <w:spacing w:after="0" w:line="240" w:lineRule="auto"/>
        <w:rPr>
          <w:rFonts w:cs="TimesNewRoman"/>
          <w:spacing w:val="-4"/>
          <w:sz w:val="24"/>
          <w:szCs w:val="24"/>
        </w:rPr>
      </w:pPr>
      <w:r w:rsidRPr="00797794">
        <w:rPr>
          <w:spacing w:val="-4"/>
          <w:sz w:val="24"/>
          <w:szCs w:val="24"/>
        </w:rPr>
        <w:t>(8) Lagane plastične vrećice za nošenje kako su definirane u članku 3. točki 1.c Direktive 94/62/EZ;</w:t>
      </w:r>
    </w:p>
    <w:p w14:paraId="729A7FE0"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2C28BA8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Higijenski ulošci, tamponi i aplikatori za tampone.</w:t>
      </w:r>
    </w:p>
    <w:p w14:paraId="3187795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48062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21F64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CF25E1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10265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9CBCB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Direktiva Vijeća 90/385/EEZ od 20. lipnja 1990. o usklađivanju zakonodavstva država članica koja se odnose na aktivne medicinske proizvode za ugradnju (SL L 189, 20.7.1990., str. 17.)</w:t>
      </w:r>
    </w:p>
  </w:footnote>
  <w:footnote w:id="2">
    <w:p w14:paraId="42EC3717" w14:textId="77777777" w:rsidR="007104F8" w:rsidRPr="006227D4" w:rsidRDefault="007104F8" w:rsidP="007104F8">
      <w:pPr>
        <w:pStyle w:val="FootnoteText"/>
      </w:pPr>
      <w:r>
        <w:rPr>
          <w:rStyle w:val="FootnoteReference"/>
        </w:rPr>
        <w:footnoteRef/>
      </w:r>
      <w:r>
        <w:t xml:space="preserve"> </w:t>
      </w:r>
      <w:r>
        <w:t xml:space="preserve">Direktiva </w:t>
      </w:r>
      <w:r>
        <w:t>Vijeća 93/42/EEZ od 14. lipnja 1993. o medicinskim proizvodima (SL L 169 od 12.7.1993., str. 1.)</w:t>
      </w:r>
    </w:p>
  </w:footnote>
  <w:footnote w:id="3">
    <w:p w14:paraId="7B0A379B" w14:textId="77777777" w:rsidR="007104F8" w:rsidRPr="006227D4" w:rsidRDefault="007104F8" w:rsidP="007104F8">
      <w:pPr>
        <w:pStyle w:val="FootnoteText"/>
      </w:pPr>
      <w:r>
        <w:rPr>
          <w:rStyle w:val="FootnoteReference"/>
        </w:rPr>
        <w:footnoteRef/>
      </w:r>
      <w:r>
        <w:t xml:space="preserve"> </w:t>
      </w:r>
      <w:r>
        <w:t xml:space="preserve">Uredba </w:t>
      </w:r>
      <w:r>
        <w:t>(EU) br. 609/2013 Europskog parlamenta i Vijeća od 12. lipnja 2013. o hrani za dojenčad i malu djecu, hrani za posebne medicinske potrebe i zamjeni za cjelodnevnu prehranu pri redukcijskoj dijeti te o stavljanju izvan snage Direktive Vijeća 92/52/EEZ, direktiva Komisije 96/8/EZ, 1999/21/EZ, 2006/125/EZ i 2006/141/EZ, Direktive 2009/39/EZ Europskog parlamenta i Vijeća i uredbi Komisije (EZ) br. 41/2009 i (EZ) br. 953/2009 (SL L 181, 29.6.2013., str.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475004"/>
    <w:rsid w:val="007104F8"/>
    <w:rsid w:val="00797794"/>
    <w:rsid w:val="00A613C2"/>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hr-HR"/>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3672</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3</cp:revision>
  <dcterms:created xsi:type="dcterms:W3CDTF">2020-07-29T07:14:00Z</dcterms:created>
  <dcterms:modified xsi:type="dcterms:W3CDTF">2020-08-12T09:13:00Z</dcterms:modified>
</cp:coreProperties>
</file>