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DE5D" w14:textId="77777777" w:rsidR="000C1A12" w:rsidRDefault="000C1A12" w:rsidP="000C1A12">
      <w:pPr>
        <w:spacing w:after="0" w:line="240" w:lineRule="auto"/>
        <w:rPr>
          <w:b/>
          <w:sz w:val="32"/>
          <w:szCs w:val="32"/>
        </w:rPr>
      </w:pPr>
      <w:r>
        <w:rPr>
          <w:rFonts w:ascii="Courier New" w:hAnsi="Courier New"/>
          <w:sz w:val="20"/>
          <w:szCs w:val="20"/>
        </w:rPr>
        <w:t>1. ------IND- 2020 0486 L-- HU- ------ 20200812 --- --- PROJET</w:t>
      </w:r>
    </w:p>
    <w:p w14:paraId="39FE8C19" w14:textId="77777777" w:rsidR="007104F8" w:rsidRPr="008E1574" w:rsidRDefault="007104F8" w:rsidP="00206537">
      <w:pPr>
        <w:keepNext/>
        <w:keepLines/>
        <w:jc w:val="center"/>
        <w:rPr>
          <w:b/>
          <w:sz w:val="32"/>
          <w:szCs w:val="32"/>
        </w:rPr>
      </w:pPr>
      <w:r>
        <w:rPr>
          <w:b/>
          <w:sz w:val="32"/>
          <w:szCs w:val="32"/>
        </w:rPr>
        <w:t>Törvénytervezet az egyes műanyagtermékek környezetre gyakorolt hatásának csökkentéséről</w:t>
      </w:r>
    </w:p>
    <w:p w14:paraId="75516DBA"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FEB5FD2"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1. cikk Célkitűzések</w:t>
      </w:r>
    </w:p>
    <w:p w14:paraId="13C7E0D2"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E törvény célja, hogy megelőzze és csökkentse az egyes műanyagtermékek környezetre, különösen a vízi környezetre és az emberi egészségre gyakorolt​hatását, valamint hogy innovatív és fenntartható üzleti modellekkel, termékekkel és anyagokkal előmozdítsa a körforgásos gazdaságra való áttérést, és ezáltal a belső piac hatékony működéséhez is hozzájáruljon.</w:t>
      </w:r>
    </w:p>
    <w:p w14:paraId="7608907B"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2. cikk Hatály</w:t>
      </w:r>
    </w:p>
    <w:p w14:paraId="419BC7BA"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Ez a törvény </w:t>
      </w:r>
      <w:commentRangeStart w:id="0"/>
      <w:r>
        <w:rPr>
          <w:rFonts w:asciiTheme="minorHAnsi" w:hAnsiTheme="minorHAnsi"/>
          <w:b w:val="0"/>
          <w:sz w:val="24"/>
          <w:szCs w:val="24"/>
        </w:rPr>
        <w:t>a mellékletben felsorolt egyszer használatos műanyagtermékekre, az oxidatív úton lebomló műanyagból készült termékekre és a műanyagot tartalmazó halászeszközökre alkalmazandó</w:t>
      </w:r>
      <w:commentRangeEnd w:id="0"/>
      <w:r>
        <w:rPr>
          <w:rStyle w:val="CommentReference"/>
        </w:rPr>
        <w:commentReference w:id="0"/>
      </w:r>
      <w:r>
        <w:rPr>
          <w:rFonts w:asciiTheme="minorHAnsi" w:hAnsiTheme="minorHAnsi"/>
          <w:b w:val="0"/>
          <w:sz w:val="24"/>
          <w:szCs w:val="24"/>
        </w:rPr>
        <w:t>.</w:t>
      </w:r>
    </w:p>
    <w:p w14:paraId="104A0CF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hulladékokról és az erőforrásokról szóló, 2012. március 21-i módosított törvénytől (a továbbiakban: a 2012. március 21-i törvény), valamint a csomagolásról és a csomagolási hulladékról szóló, 2017. március 21-i módosított törvénytől külön törvénynek kell tekinteni. </w:t>
      </w:r>
    </w:p>
    <w:p w14:paraId="03DFB314"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3. cikk Fogalommeghatározások</w:t>
      </w:r>
    </w:p>
    <w:p w14:paraId="37E5AFDA"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E törvény alkalmazásában: </w:t>
      </w:r>
    </w:p>
    <w:p w14:paraId="019810C5"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w:t>
      </w:r>
      <w:commentRangeStart w:id="1"/>
      <w:r>
        <w:rPr>
          <w:rFonts w:asciiTheme="minorHAnsi" w:hAnsiTheme="minorHAnsi"/>
          <w:b w:val="0"/>
          <w:sz w:val="24"/>
          <w:szCs w:val="24"/>
        </w:rPr>
        <w:t>hulladékká vált halászeszköz</w:t>
      </w:r>
      <w:commentRangeEnd w:id="1"/>
      <w:r>
        <w:rPr>
          <w:rStyle w:val="CommentReference"/>
        </w:rPr>
        <w:commentReference w:id="1"/>
      </w:r>
      <w:r>
        <w:rPr>
          <w:rFonts w:asciiTheme="minorHAnsi" w:hAnsiTheme="minorHAnsi"/>
          <w:b w:val="0"/>
          <w:sz w:val="24"/>
          <w:szCs w:val="24"/>
        </w:rPr>
        <w:t>”: a hulladék 2012. március 12-i törvény 4. cikke szerinti fogalommeghatározása alá eső bármely halászeszköz, beleértve minden olyan különálló alkotórészt vagy anyagot, amely ennek a halászeszköznek a része vagy tartozéka volt, amikor azt eldobták, szándékosan hátrahagyták vagy elveszítették;</w:t>
      </w:r>
    </w:p>
    <w:p w14:paraId="41C80F7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„csomagolás”: a csomagolásról és a csomagolási hulladékról szóló, 2017. március 21-i módosított törvény szerinti csomagolás; </w:t>
      </w:r>
    </w:p>
    <w:p w14:paraId="3306F18C"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„halászeszköz”: a halászatban vagy akvakultúrában használt felszerelés minden olyan tétele vagy eleme, amelyet a tengerek biológiai erőforrásainak célba vételére, kifogására vagy tenyésztésére használnak, vagy amely a tenger felszínén lebeg, és azzal a céllal telepítették, hogy a tengerek biológiai erőforrásait magához vonzza és kifogja vagy tenyéssze;</w:t>
      </w:r>
    </w:p>
    <w:p w14:paraId="2C6D6393"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„forgalmazás”: egy terméknek kereskedelmi tevékenység keretében történő rendelkezésre bocsátása értékesítés, fogyasztás vagy használat céljára Luxemburgban, akár ellenérték fejében, akár ingyenesen; </w:t>
      </w:r>
    </w:p>
    <w:p w14:paraId="7B91BE76"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„forgalomba hozatal”: a termék első alkalommal történő forgalmazása Luxemburgban;</w:t>
      </w:r>
    </w:p>
    <w:p w14:paraId="2144C0B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6. „harmonizált szabvány”: az 1025/2012/EU rendelet 2. cikke 1. pontjának c) alpontjában meghatározott harmonizált szabvány; </w:t>
      </w:r>
    </w:p>
    <w:p w14:paraId="65A0D150"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„műanyag”: az 1907/2006/EK rendelet 3. cikkének 5. pontjában meghatározott polimert tartalmazó anyag, amelyhez adalékanyagokat vagy egyéb anyagokat adhattak, és amely a késztermék fő szerkezeti alkotóelemeként funkcionálhat, beleértve a polimer-alapú gumitermékeket és a biológiai eredetű vagy biológiailag lebomló műanyagokat is, függetlenül attól, hogy biomasszából származnak-e vagy úgy alakították-e ki azokat, hogy idővel biológiailag lebomoljanak. </w:t>
      </w:r>
    </w:p>
    <w:p w14:paraId="658ADEC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Ez a meghatározás nem foglalja magában a kémiailag nem módosított természetes polimereket;</w:t>
      </w:r>
    </w:p>
    <w:p w14:paraId="1B92382A"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„biológiailag lebomló műanyag”: olyan műanyag, amely fizikai és biológiai bomlásra képes úgy, hogy végül szén-dioxiddá (CO</w:t>
      </w:r>
      <w:r>
        <w:rPr>
          <w:rFonts w:asciiTheme="minorHAnsi" w:hAnsiTheme="minorHAnsi"/>
          <w:b w:val="0"/>
          <w:sz w:val="24"/>
          <w:szCs w:val="24"/>
          <w:vertAlign w:val="subscript"/>
        </w:rPr>
        <w:t>2</w:t>
      </w:r>
      <w:r>
        <w:rPr>
          <w:rFonts w:asciiTheme="minorHAnsi" w:hAnsiTheme="minorHAnsi"/>
          <w:b w:val="0"/>
          <w:sz w:val="24"/>
          <w:szCs w:val="24"/>
        </w:rPr>
        <w:t>), biomasszává és vízzé bomoljon le, és amely a csomagolásra vonatkozó európai szabványokkal összhangban komposztálás és anaerob lebontás útján hasznosítható;</w:t>
      </w:r>
    </w:p>
    <w:p w14:paraId="538166F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„oxidatív úton lebomló műanyag”: olyan adalékanyagokat tartalmazó műanyag, amelyek oxidáció révén a műanyag mikroméretű részecskékre történő széttöredezését vagy kémiai lebontását idézik elő;</w:t>
      </w:r>
    </w:p>
    <w:p w14:paraId="2658FF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„dohánytermék”: a dohányzás visszaszorításáról szóló, 2006. augusztus 11-i módosított törvény 2. cikke 1. pontjának a) alpontjában meghatározott dohánytermék;</w:t>
      </w:r>
    </w:p>
    <w:p w14:paraId="3F5E34C2"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„egyszer használatos műanyagtermék”: olyan termék, amely teljes egészében vagy részben műanyagból készült, és amelyet nem arra szántak, nem úgy terveztek, vagy amelyet nem azzal a céllal helyeztek forgalomba, hogy a gyártóhoz visszajuttatva élettartama alatt többször vagy több körben újratölthető legyen, illetve eredeti rendeltetésének megfelelő célból újrahasználható legyen; </w:t>
      </w:r>
    </w:p>
    <w:p w14:paraId="1C1AC946"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 „hulladék”, „gyűjtés”, „elkülönített gyűjtés”, „kezelés”, „termékgyártó” és „kiterjesztett gyártói felelősségi rendszer” kifejezések esetében a 2012. március 21-i módosított törvény 4. cikkében szereplő fogalommeghatározások alkalmazandók.</w:t>
      </w:r>
    </w:p>
    <w:p w14:paraId="4AA85141"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4. cikk A fogyasztás csökkentése</w:t>
      </w:r>
    </w:p>
    <w:p w14:paraId="364207C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termékgyártók meghozzák azokat az intézkedéseket, amelyek a 2022. évi adatokhoz képest 2026-ra mérhető mennyiségi csökkenést eredményeznek a melléklet A. részében felsorolt egyszer használatos műanyagtermékek fogyasztását illetően. Az érintett időszakban ennek a csökkenésnek legalább 20%-osnak kell lennie a forgalomba hozott egységekhez képest. 2026. január 1-jétől minden évben legalább 10%-os csökkenést kell elérni az előző évben forgalomba hozott mennyiségekhez képest. A termékgyártóknak a 2012. március 21-i törvény 19. cikkével összhangban egy elismert szervezetet kell megbízniuk e kötelezettség végrehajtásával. </w:t>
      </w:r>
    </w:p>
    <w:p w14:paraId="1E3022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környezetvédelemért felelős miniszter (a továbbiakban: a miniszter) biztosítja az ahhoz szükséges intézkedések összehangolását, hogy ambiciózus és tartós csökkenést érjenek el a </w:t>
      </w:r>
      <w:r>
        <w:rPr>
          <w:rFonts w:asciiTheme="minorHAnsi" w:hAnsiTheme="minorHAnsi"/>
          <w:b w:val="0"/>
          <w:sz w:val="24"/>
          <w:szCs w:val="24"/>
        </w:rPr>
        <w:lastRenderedPageBreak/>
        <w:t xml:space="preserve">melléklet A. részében felsorolt egyszer használatos műanyagtermékek fogyasztásában az Unió hulladékgazdálkodási politikájának átfogó céljaival és különösen a hulladékképződés megelőzésére irányuló céllal összhangban, ezzel a növekvő fogyasztási trendek jelentős megfordítását elérve. </w:t>
      </w:r>
    </w:p>
    <w:p w14:paraId="3799E32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 Környezetvédelmi Hatóság nyomon követi a melléklet A. részében felsorolt egyszer használatos műanyagtermékek forgalomba hozatalát, valamint a csökkentés céljából hozott intézkedéseket.</w:t>
      </w:r>
    </w:p>
    <w:p w14:paraId="25ABBACA"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2" w:name="_Hlk25240711"/>
      <w:r>
        <w:rPr>
          <w:rFonts w:asciiTheme="minorHAnsi" w:hAnsiTheme="minorHAnsi"/>
          <w:b w:val="0"/>
          <w:sz w:val="24"/>
          <w:szCs w:val="24"/>
        </w:rPr>
        <w:t>E célból az elismert szervezet a 2012. március 21-i törvény 35. cikkében említett éves jelentésben megadja a melléklet A. részében felsorolt egyszer használatos műanyagtermékeknek az előző évben forgalmazott mennyiségét.</w:t>
      </w:r>
    </w:p>
    <w:bookmarkEnd w:id="2"/>
    <w:p w14:paraId="4829A1A3"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5. cikk A forgalomba hozatalra vonatkozó korlátozások</w:t>
      </w:r>
    </w:p>
    <w:p w14:paraId="002AC44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 melléklet B. részében felsorolt egyszer használatos műanyagtermékek és az oxidatív úton lebomló műanyagból készült termékek forgalomba hozatala tilos.</w:t>
      </w:r>
    </w:p>
    <w:p w14:paraId="03B8BE60"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6. cikk Termékkövetelmények</w:t>
      </w:r>
    </w:p>
    <w:p w14:paraId="616C0F8A"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A melléklet C. részében felsorolt, műanyagból készült kupakkal és fedéllel ellátott egyszer használatos műanyagtermékeket csak akkor lehet forgalomba hozni, ha a kupakok és fedelek az italtárolókhoz rögzítve maradnak a termék rendeltetésszerű használata során. </w:t>
      </w:r>
    </w:p>
    <w:p w14:paraId="099CFEDC"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 műanyag tömítéssel ellátott fémkupakok vagy -fedelek nem tekintendők úgy, hogy azok műanyagból készültek.</w:t>
      </w:r>
    </w:p>
    <w:p w14:paraId="66E9E375"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A melléklet F. részében felsorolt italpalackok tekintetében az alábbi követelményeket kell alkalmazni: </w:t>
      </w:r>
    </w:p>
    <w:p w14:paraId="35C7FFC8"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2025-től kezdődően a melléklet F. részében felsorolt, fő alkotóelemként polietilén-tereftalátból előállított italpalackok (a továbbiakban: PET-palackok) legalább 25%-ban újrafeldolgozott műanyagot tartalmazzanak az </w:t>
      </w:r>
      <w:bookmarkStart w:id="3" w:name="_Hlk25242138"/>
      <w:r>
        <w:rPr>
          <w:rFonts w:asciiTheme="minorHAnsi" w:hAnsiTheme="minorHAnsi"/>
          <w:b w:val="0"/>
          <w:sz w:val="24"/>
          <w:szCs w:val="24"/>
        </w:rPr>
        <w:t>ugyanazon gyártó által</w:t>
      </w:r>
      <w:bookmarkEnd w:id="3"/>
      <w:r>
        <w:rPr>
          <w:rFonts w:asciiTheme="minorHAnsi" w:hAnsiTheme="minorHAnsi"/>
          <w:b w:val="0"/>
          <w:sz w:val="24"/>
          <w:szCs w:val="24"/>
        </w:rPr>
        <w:t xml:space="preserve"> forgalomba hozott összes PET-palack átlagaként számítva; és</w:t>
      </w:r>
    </w:p>
    <w:p w14:paraId="54AC744C"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2030-tól kezdődően a melléklet F. részében felsorolt italpalackok legalább 30%-ban újrafeldolgozott műanyagot tartalmazzanak az ugyanazon gyártó által forgalomba hozott összes ilyen italpalack átlagaként számítva.</w:t>
      </w:r>
    </w:p>
    <w:p w14:paraId="76F65CE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E célból a 2012. március 21-i törvény 19. cikkével összhangban elismert szervezet az ugyanezen törvény 35. cikkében említett éves jelentésben megadja az előző évben forgalomba hozott PET-palackok mennyiségét és az ezekből a palackokból újrahasznosított műanyag átlagos százalékarányát. Az Európai Unió végrehajtási jogi aktusának hiányában a célok kiszámításának és ellenőrzésének módját a Környezetvédelmi Hatóság határozza meg.</w:t>
      </w:r>
    </w:p>
    <w:p w14:paraId="6455F256"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 xml:space="preserve">7. cikk Jelölési követelmények </w:t>
      </w:r>
    </w:p>
    <w:p w14:paraId="503EBBE9"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A melléklet D. részében felsorolt minden egyes forgalomba hozott egyszer használatos műanyagterméken – a termék csomagolásán vagy magán a terméken – szembetűnő, tisztán olvasható és eltávolíthatatlan jelölésnek kell lennie, amely a fogyasztót az alábbi információkról tájékoztatja:</w:t>
      </w:r>
    </w:p>
    <w:p w14:paraId="11BBBE5A"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a termékre vonatkozó megfelelő hulladékgazdálkodási lehetőségek, vagy az említett termék tekintetében kerülendő hulladékártalmatlanítási módok, a hulladékhierarchiával összhangban; és</w:t>
      </w:r>
    </w:p>
    <w:p w14:paraId="6A823AF7"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a műanyagok jelenléte a termékben, és a termékkel való hulladékelhagyásnak vagy a termék hulladékként való ártalmatlanítása egyéb nem megfelelő módjainak a környezetre gyakorolt negatív hatása.</w:t>
      </w:r>
    </w:p>
    <w:p w14:paraId="211CFF62"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Az e cikkben foglalt rendelkezések a dohánytermékek esetében kiegészítik a dohányzás visszaszorításáról szóló, 2006. augusztus 11-i módosított törvényben megállapított rendelkezéseket.</w:t>
      </w:r>
    </w:p>
    <w:p w14:paraId="707E0A6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8. cikk Kiterjesztett gyártói felelősség</w:t>
      </w:r>
    </w:p>
    <w:p w14:paraId="2E62B77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A melléklet E. részében felsorolt összes egyszer használatos műanyagtermék és a műanyagot tartalmazó halászeszközök tekintetében kiterjesztett gyártói felelősségi rendszerek kerülnek kialakításra a 2012. március 21-i törvény vonatkozó rendelkezéseinek megfelelően.</w:t>
      </w:r>
    </w:p>
    <w:p w14:paraId="1C24143D"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A melléklet E. részének I. szakaszában felsorolt egyszer használatos műanyagtermékek gyártói fedezik a kiterjesztett gyártói felelősségre vonatkozóan a 2012. március 21-i törvényben, valamint a csomagolásról és a csomagolási hulladékról szóló 2017. március 21-i törvényben foglalt rendelkezések alkalmazásából eredő költségeket, továbbá amennyiben a rendelkezések nem terjednek ki az alábbi költségekre, akkor az alábbi költségeket is: </w:t>
      </w:r>
    </w:p>
    <w:p w14:paraId="2F2925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az említett termékekre vonatkozó, a 10. cikkben említett figyelemfelkeltő intézkedések költségei; </w:t>
      </w:r>
    </w:p>
    <w:p w14:paraId="589A1C6D"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az említett termékekből származó, a köztéri hulladékgyűjtő rendszereknek átadott hulladék gyűjtési költségei, ideértve az infrastruktúrával és annak működtetésével kapcsolatos költségeket, valamint az említett hulladék szállításának és későbbi kezelésének költségeit is; és </w:t>
      </w:r>
    </w:p>
    <w:p w14:paraId="2B416E18"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az említett termékekből származó elhagyott hulladék eltakarításának, valamint az elhagyott hulladék szállításának és későbbi kezelésének költségei.</w:t>
      </w:r>
    </w:p>
    <w:p w14:paraId="08296929"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(3) A melléklet E. részének II. </w:t>
      </w:r>
      <w:bookmarkStart w:id="4" w:name="_Hlk33179213"/>
      <w:bookmarkEnd w:id="4"/>
      <w:r>
        <w:rPr>
          <w:rFonts w:asciiTheme="minorHAnsi" w:hAnsiTheme="minorHAnsi"/>
          <w:b w:val="0"/>
          <w:sz w:val="24"/>
          <w:szCs w:val="24"/>
        </w:rPr>
        <w:t>és III. szakaszában felsorolt egyszer használatos műanyagtermékek gyártói legalább az alábbi költségeket fedezik</w:t>
      </w:r>
      <w:bookmarkStart w:id="5" w:name="_Hlk33179167"/>
      <w:r>
        <w:rPr>
          <w:rFonts w:asciiTheme="minorHAnsi" w:hAnsiTheme="minorHAnsi"/>
          <w:b w:val="0"/>
          <w:sz w:val="24"/>
          <w:szCs w:val="24"/>
        </w:rPr>
        <w:t>:</w:t>
      </w:r>
    </w:p>
    <w:bookmarkEnd w:id="5"/>
    <w:p w14:paraId="37B40696"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az említett termékekre vonatkozó, a 10. cikkben említett figyelemfelkeltő intézkedések költségei; </w:t>
      </w:r>
    </w:p>
    <w:p w14:paraId="106D8748"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az említett termékekből származó elhagyott hulladék eltakarításának, valamint az elhagyott hulladék szállításának és későbbi kezelésének költségei; és </w:t>
      </w:r>
    </w:p>
    <w:p w14:paraId="54EB8004"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a 2012. március 21-i törvény 19. cikkével összhangban végzett adatgyűjtés és adatszolgáltatás költségei. </w:t>
      </w:r>
    </w:p>
    <w:p w14:paraId="699AEF65"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A melléklet E. részének III. szakaszában felsorolt egyszer használatos műanyagtermékeket illetően a termékgyártók ezenfelül fedezik az ilyen termékekből származó, a köztéri hulladékgyűjtő rendszerekbe eldobott hulladék gyűjtésének költségeit, ideértve az infrastruktúrával és annak működtetésével kapcsolatos költségeket, valamint az említett hulladék szállításának és későbbi kezelésének költségét is. A költségek magukban foglalják az említett termékek hulladékának gyűjtésére szolgáló sajátos infrastruktúra kialakítását, mint például megfelelő hulladéktárolók elhelyezését ott, ahol a hulladékot a leggyakrabban elhagyják.</w:t>
      </w:r>
    </w:p>
    <w:p w14:paraId="77DEDCA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A melléklet E. részének III. szakaszában felsorolt egyszer használatos műanyagtermékek gyártóinak meg kell hozniuk a hulladékká vált termékek elhagyásának, kidobásának és ellenőrizetlen kezelésének megelőzéséhez szükséges intézkedéseket.</w:t>
      </w:r>
    </w:p>
    <w:p w14:paraId="3BC36F72"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2024. január 1-jétől minden évben legalább 10%-os csökkenést kell elérni az előző évben kidobott mennyiségekhez képest. Az illetékes hatóság kidolgozza és közzéteszi a kidobott mennyiségek számszerűsítését és csökkenésének ellenőrzését lehetővé tevő módszertant.</w:t>
      </w:r>
    </w:p>
    <w:p w14:paraId="5397499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A (2) és (3) bekezdésben említett fedezendő költségek nem haladhatják meg az említett szolgáltatások költséghatékony módon történő nyújtásához szükséges költségeket, és gondoskodni kell azok átlátható módon történő megállapításáról az érintett szereplők között. A hulladék eltakarításának költségeit a hatóságok által vagy azok nevében végzett tevékenységekre kell korlátozni. A költségek kiszámításának módszertanát úgy kell kialakítani, hogy az lehetővé tegye a hulladék eltakarítási költségeinek arányos módon történő megállapítását. Az adminisztratív költségek minimálisra szorítása érdekében az elhagyott hulladék eltakarításával kapcsolatos költségekhez való pénzügyi hozzájárulásokat lehet meghatározni több évre szóló megfelelő fix összegek megállapításával. </w:t>
      </w:r>
    </w:p>
    <w:p w14:paraId="6DEF3C9C"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Az Európai Unió másik tagállamában letelepedett és a luxemburgi piacon termékeket forgalomba hozó gyártók kijelölhetnek egy, a nemzeti területen vagy egy másik tagállamban letelepedett jogi vagy természetes személyt meghatalmazott képviselőnek a kiterjesztett gyártói felelősségi rendszerekkel kapcsolatos gyártói kötelezettségek teljesítése céljából. </w:t>
      </w:r>
    </w:p>
    <w:p w14:paraId="0DF5183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(7) A Luxemburgi Nagyhercegségben letelepedett azon gyártóknak, amelyek a melléklet E. részében felsorolt egyszer használatos műanyagtermékeket, illetve műanyagot tartalmazó halászeszközöket értékesítenek az Európai Unió egy másik, a letelepedésük szerinti tagállamtól eltérő tagállamában, meghatalmazott képviselőt kell kijelölniük az Európai Unió e másik tagállamában. A meghatalmazott képviselő az említett gyártó ezen törvény szerinti kötelezettségeinek az Európai Unió e másik tagállamának területén való teljesítéséért felelős személy.</w:t>
      </w:r>
    </w:p>
    <w:p w14:paraId="0EAE02D2"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A műanyagot tartalmazó halászeszközökkel kapcsolatos kiterjesztett gyártói felelősségi rendszerek esetében a műanyagot tartalmazó halászeszközöket előállító gyártóknak fedezniük kell a speciális gyűjtőrendszerbe leadott, műanyagot tartalmazó halászeszközök elkülönített gyűjtésének költségeit, valamint a szállításuk és a későbbi kezelésük költségeit. </w:t>
      </w:r>
    </w:p>
    <w:p w14:paraId="44AEDECC"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gyártóknak kell fedezniük a műanyagot tartalmazó halászeszközökkel kapcsolatban a 10. cikkben említett figyelemfelkeltő intézkedések költségeit is. </w:t>
      </w:r>
    </w:p>
    <w:p w14:paraId="03A60DE8"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9. cikk Elkülönített gyűjtés</w:t>
      </w:r>
    </w:p>
    <w:p w14:paraId="14702FF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melléklet F. részében felsorolt egyszer használatos műanyagtermékek hulladékának újrafeldolgozás céljából elkülönítve gyűjtött mennyiségének a következőknek kell megfelelnie: </w:t>
      </w:r>
    </w:p>
    <w:p w14:paraId="2EEBB59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legkésőbb 2025-ig az adott évben e termékekből keletkező teljes hulladékmennyiség – az elhagyott hulladékot is beleértve – 77 tömegszázalékának; </w:t>
      </w:r>
    </w:p>
    <w:p w14:paraId="23A1826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legkésőbb 2029-ig az adott évben e termékekből keletkező teljes hulladékmennyiség – az elhagyott hulladékot is beleértve – 90 tömegszázalékának.</w:t>
      </w:r>
    </w:p>
    <w:p w14:paraId="06144D2A"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10. cikk Figyelemfelkeltő intézkedések</w:t>
      </w:r>
    </w:p>
    <w:p w14:paraId="53E0EA0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Környezetvédelmi Hatóság és a Vízügyi Hatóság a saját hatáskörébe tartozó területen biztosítja, hogy az ezen törvény hatálya alá tartozó termékekből származó hulladékelhagyás csökkentése érdekében tájékoztatást nyújtsanak a fogyasztóknak, és ösztönözzék a felelős fogyasztói magatartást, továbbá hogy a melléklet G. részében felsorolt egyszer használatos műanyagtermékek fogyasztóit és a műanyagot tartalmazó halászeszközök felhasználóit tájékoztassák az alábbiakról: </w:t>
      </w:r>
    </w:p>
    <w:p w14:paraId="767EB0A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újrahasználható alternatívák, újrahasználati rendszerek és hulladékgazdálkodási lehetőségek rendelkezésre állása az említett egyszer használatos műanyagtermékekre és a műanyagot tartalmazó halászeszközökre vonatkozóan, valamint a 2012. március 12-i törvény 10. cikkével összhangban végzett eredményes hulladékgazdálkodás bevált gyakorlatai; </w:t>
      </w:r>
    </w:p>
    <w:p w14:paraId="754B297D"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az említett egyszer használatos műanyagtermékek és a műanyagot tartalmazó halászeszközök hulladékelhagyásának és egyéb nem megfelelő hulladékártalmatlanítási módjainak a környezetre, különösen a tengeri környezetre gyakorolt hatása; és</w:t>
      </w:r>
    </w:p>
    <w:p w14:paraId="5F839D50"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3. az említett egyszer használatos műanyagtermékek nem megfelelő hulladékártalmatlanítási módjainak a csatornahálózatra gyakorolt hatása.</w:t>
      </w:r>
    </w:p>
    <w:p w14:paraId="5736FE79"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3CD3DD2"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11. cikk Az intézkedések koordinálása</w:t>
      </w:r>
    </w:p>
    <w:p w14:paraId="23C9A7A3"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0A30E5EB"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A 4. cikk (1) bekezdése 1. albekezdésének sérelme nélkül, az e törvény alapján hozott intézkedések szerves részét képezik a vízről szóló, 2008. december 19-i módosított törvénnyel összhangban kialakított intézkedési programoknak, valamint a 2012. március 21-i törvénnyel összhangban kidolgozott hulladékgazdálkodási és hulladékmegelőzési terveknek, és ezekkel összhangban kell lenniük.</w:t>
      </w:r>
    </w:p>
    <w:p w14:paraId="10F129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0ED9ED95"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Az élelmiszer-higiénia és az élelmiszerbiztonság veszélyeztetésének elkerülése érdekében a 4–9. cikk értelmében hozott intézkedéseknek meg kell felelniük az élelmiszerjogi rendelkezéseknek. </w:t>
      </w:r>
    </w:p>
    <w:p w14:paraId="597C2506"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0AA5445B"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A Környezetvédelmi Hatóság és az Egészségügyi Igazgatóság a saját hatáskörébe tartozó területen biztosítja, hogy az élelmiszerekkel rendeltetésszerűen érintkezésbe kerülő anyagok esetében ösztönözzék az egyszer használatos műanyagtermékek fenntartható alternatíváinak használatát.</w:t>
      </w:r>
    </w:p>
    <w:p w14:paraId="013BFD20"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756A7296"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12. cikk Az egyszer használatos műanyagtermékekre vonatkozó előírások és iránymutatások</w:t>
      </w:r>
    </w:p>
    <w:p w14:paraId="0FBAED04"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1236F86"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Annak megállapításához, hogy egy ételtároló edény ezen törvény alkalmazásában egyszer használatos műanyagterméknek minősül-e, az ételtárolókra vonatkozóan a mellékletben felsorolt kritériumok mellett döntő szerepet játszik az, hogy az adott tároló – és különösen annak egyadagos kiszerelése – űrtartalma vagy mérete folytán milyen valószínűséggel válik hulladékká.</w:t>
      </w:r>
    </w:p>
    <w:p w14:paraId="177A1C9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2A73CBF"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13. cikk Közigazgatási intézkedések</w:t>
      </w:r>
    </w:p>
    <w:p w14:paraId="24D24334"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3168F73C"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Az 5. cikk, a 6. cikk (1) bekezdése és (2) bekezdésének 1. és 2. pontja, a 7. cikk és a 9. cikk rendelkezéseinek megsértése esetén a miniszter: </w:t>
      </w:r>
    </w:p>
    <w:p w14:paraId="22E18E5E"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a gyártónak vagy az elismert szervezetnek határidőt szabhat meg arra, hogy e rendelkezéseknek megfeleljen, amelynek időtartama nem haladhatja meg a két évet; </w:t>
      </w:r>
    </w:p>
    <w:p w14:paraId="421F7042"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ideiglenes intézkedéssel részben vagy teljesen felfüggesztheti a gyártó tevékenységét vagy a létesítmény működését, vagy teljesen vagy részben bezárathatja és pecséttel lezárathatja a létesítményt.</w:t>
      </w:r>
    </w:p>
    <w:p w14:paraId="4B227216"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Bármely érdekelt fél kérheti az (1) bekezdésben említett intézkedések alkalmazását. </w:t>
      </w:r>
    </w:p>
    <w:p w14:paraId="037F953B"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Az (1) bekezdésben felsorolt​intézkedéseket akkor szüntetik meg, ha a gyártó vagy az elismert szervezet megfelel az előírásoknak. </w:t>
      </w:r>
    </w:p>
    <w:p w14:paraId="508CA6BD"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3EE5843E"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lastRenderedPageBreak/>
        <w:t>14. cikk Különleges rendelkezések</w:t>
      </w:r>
    </w:p>
    <w:p w14:paraId="060F015D"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A 2012. március 21-i törvény következő rendelkezései alkalmazandók:</w:t>
      </w:r>
    </w:p>
    <w:p w14:paraId="08B4012A"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a szabálysértések felderítése és megállapítása, az ellenőrzési hatáskörök és a vizsgálati hatáskörök tekintetében a 44., 45. és 46. cikk; és</w:t>
      </w:r>
    </w:p>
    <w:p w14:paraId="7C9D5A75"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az elismert környezetvédő szervezetek kereseti joga tekintetében az 50. cikk (2) bekezdése.</w:t>
      </w:r>
    </w:p>
    <w:p w14:paraId="3BA42F2B"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15. cikk Melléklet</w:t>
      </w:r>
    </w:p>
    <w:p w14:paraId="24B2576B"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A melléklet nagyhercegi rendelettel módosítható annak érdekében, hogy hozzáigazítsák az Európai Unió e területtel kapcsolatos jogszabályainak változásához.</w:t>
      </w:r>
    </w:p>
    <w:p w14:paraId="68D072B2"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16. cikk Büntetőjogi szankciók</w:t>
      </w:r>
    </w:p>
    <w:p w14:paraId="1FCCF3C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4B1D0D9"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Nyolc naptól három évig terjedő börtönbüntetéssel és 251 eurótól 750 000 euróig terjedő pénzbírsággal, vagy csak e büntetések egyikével sújthatók az 5. cikk, a 6. cikk (1) bekezdésének 1. albekezdése és (2) bekezdésének 1. és 2. pontja, a 7. cikk (1) bekezdése, a 8. cikk (4) bekezdése és a 9. cikk szerinti szabálysértések.</w:t>
      </w:r>
    </w:p>
    <w:p w14:paraId="04A5D25A"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Ugyanezek a szankciók alkalmazandók a 13. cikk alapján hozott közigazgatási intézkedések akadályozása vagy be nem tartása esetén. </w:t>
      </w:r>
    </w:p>
    <w:p w14:paraId="68837F0A"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17AD9341"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17. cikk Közigazgatási bírságok</w:t>
      </w:r>
    </w:p>
    <w:p w14:paraId="78F6D850"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30D55BA4" w14:textId="77777777" w:rsidR="007104F8" w:rsidRPr="00C25B06" w:rsidRDefault="007104F8" w:rsidP="007104F8">
      <w:pPr>
        <w:autoSpaceDE w:val="0"/>
        <w:autoSpaceDN w:val="0"/>
        <w:adjustRightInd w:val="0"/>
        <w:spacing w:after="0"/>
        <w:rPr>
          <w:rFonts w:cs="TimesNewRoman"/>
          <w:sz w:val="24"/>
          <w:szCs w:val="24"/>
        </w:rPr>
      </w:pPr>
      <w:r>
        <w:rPr>
          <w:sz w:val="24"/>
          <w:szCs w:val="24"/>
        </w:rPr>
        <w:t>A miniszter 250 eurótól 10 000 euróig terjedő közigazgatási bírságot szabhat ki a 4. cikk (4) bekezdésének és a 6. cikk (2) bekezdése 2. albekezdésének megsértése esetén.</w:t>
      </w:r>
    </w:p>
    <w:p w14:paraId="04296FAF" w14:textId="77777777" w:rsidR="007104F8" w:rsidRPr="00C25B06" w:rsidRDefault="007104F8" w:rsidP="007104F8">
      <w:pPr>
        <w:autoSpaceDE w:val="0"/>
        <w:autoSpaceDN w:val="0"/>
        <w:adjustRightInd w:val="0"/>
        <w:spacing w:after="0"/>
        <w:rPr>
          <w:rFonts w:cs="TimesNewRoman"/>
          <w:sz w:val="24"/>
          <w:szCs w:val="24"/>
          <w:lang w:val="fr-LU" w:eastAsia="fr-BE"/>
        </w:rPr>
      </w:pPr>
    </w:p>
    <w:p w14:paraId="44AE3C87"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A bírságot az írásbeli határozat kézbesítésétől számított két hónapon belül kell befizetni. </w:t>
      </w:r>
    </w:p>
    <w:p w14:paraId="6B54EA78" w14:textId="77777777" w:rsidR="007104F8" w:rsidRDefault="007104F8" w:rsidP="007104F8">
      <w:pPr>
        <w:autoSpaceDE w:val="0"/>
        <w:autoSpaceDN w:val="0"/>
        <w:adjustRightInd w:val="0"/>
        <w:spacing w:after="0"/>
        <w:rPr>
          <w:rFonts w:cs="TimesNewRoman"/>
          <w:sz w:val="24"/>
          <w:szCs w:val="24"/>
          <w:lang w:val="fr-LU" w:eastAsia="fr-BE"/>
        </w:rPr>
      </w:pPr>
    </w:p>
    <w:p w14:paraId="33B3FF39"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A közigazgatási bírságokat az Administration de l’enregistrement, des domaines et de la TVA (adóhatóság) szedi be. A beszedés a bejegyzési illetékekkel azonos módon történik.</w:t>
      </w:r>
    </w:p>
    <w:p w14:paraId="1B52EA7A"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56FA09B5"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18. cikk Fellebbezés</w:t>
      </w:r>
    </w:p>
    <w:p w14:paraId="51535838"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056C32AA"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Az e törvény alapján hozott határozatok ellen a határozat megváltoztatására irányuló keresetet lehet indítani a Közigazgatási Bíróság előtt. A fellebbezést a jogvesztés terhe mellett a határozat kézbesítésétől számított negyven napon belül kell benyújtani. </w:t>
      </w:r>
    </w:p>
    <w:p w14:paraId="22E060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14EF59E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19. cikk Hatálybalépés</w:t>
      </w:r>
    </w:p>
    <w:p w14:paraId="3D5948F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2551E9BA"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Ez a törvény 2021. július 3-án lép hatályba.</w:t>
      </w:r>
    </w:p>
    <w:p w14:paraId="528059EA"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21063B94"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lastRenderedPageBreak/>
        <w:t>A 6. cikk (1) bekezdésének rendelkezései azonban csak 2024. július 3-án, a 8. cikk rendelkezései pedig 2026. december 31-én lépnek hatályba, kivéve a melléklet E. részének III. szakaszában felsorolt egyszer használatos műanyagtermékek esetében, amelyekre vonatkozóan 2023. január 5-én lépnek hatályba a rendelkezések.</w:t>
      </w:r>
    </w:p>
    <w:p w14:paraId="072860E1"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33194F7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6D0B2747"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FEEC9D3"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66C1876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Melléklet</w:t>
      </w:r>
    </w:p>
    <w:p w14:paraId="29738B60"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0B6B45F"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A. RÉSZ</w:t>
      </w:r>
    </w:p>
    <w:p w14:paraId="0C3279D4"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07788147"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 fogyasztás csökkentéséről szóló 4. cikk hatálya alá tartozó egyszer használatos műanyagtermékek</w:t>
      </w:r>
    </w:p>
    <w:p w14:paraId="35042A4E"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7BD7BDE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E9E849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Italtartó poharak, beleértve azok tetejét és fedelét;</w:t>
      </w:r>
    </w:p>
    <w:p w14:paraId="42517DF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4B5AD9F4"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Ételtároló edények, azaz ételtartók, például dobozok tetővel vagy anélkül, amelyek olyan ételek tárolására szolgálnak, amelyek:</w:t>
      </w:r>
    </w:p>
    <w:p w14:paraId="7768425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azonnal fogyaszthatók helyben vagy elvitelre,</w:t>
      </w:r>
    </w:p>
    <w:p w14:paraId="75C55E70"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fogyasztása általában az edényből történik, valamint</w:t>
      </w:r>
    </w:p>
    <w:p w14:paraId="2FC4EB4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készételként fogyaszthatók, azaz további elkészítést, például főzést, forralást vagy melegítést nem igényelnek, </w:t>
      </w:r>
    </w:p>
    <w:p w14:paraId="308378C9"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3EBD7702"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beleértve például a gyorsételekhez vagy egyéb készételekhez használt ételtároló edényeket, kivéve az italtárolókat, tányérokat és tasakokat, valamint az ételt tartalmazó csomagolásokat.</w:t>
      </w:r>
    </w:p>
    <w:p w14:paraId="058B663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4FDD0154"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B. RÉSZ</w:t>
      </w:r>
    </w:p>
    <w:p w14:paraId="6C88D9F1"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91DD801"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 forgalomba hozatalra vonatkozó korlátozásokról szóló 5. cikk hatálya alá tartozó egyszer használatos műanyagtermékek</w:t>
      </w:r>
    </w:p>
    <w:p w14:paraId="68F4761A"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0563B8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Fültisztító pálcikák, a 90/385/EGK tanácsi irányelv</w:t>
      </w:r>
      <w:r>
        <w:rPr>
          <w:rStyle w:val="FootnoteReference"/>
          <w:rFonts w:cs="TimesNewRoman"/>
          <w:sz w:val="24"/>
          <w:szCs w:val="24"/>
          <w:lang w:val="fr-LU" w:eastAsia="fr-BE"/>
        </w:rPr>
        <w:footnoteReference w:id="1"/>
      </w:r>
      <w:r>
        <w:rPr>
          <w:sz w:val="24"/>
          <w:szCs w:val="24"/>
        </w:rPr>
        <w:t xml:space="preserve"> vagy a 93/42/EGK tanácsi irányelv</w:t>
      </w:r>
      <w:r>
        <w:rPr>
          <w:rStyle w:val="FootnoteReference"/>
          <w:rFonts w:cs="TimesNewRoman"/>
          <w:sz w:val="24"/>
          <w:szCs w:val="24"/>
          <w:lang w:val="fr-LU" w:eastAsia="fr-BE"/>
        </w:rPr>
        <w:footnoteReference w:id="2"/>
      </w:r>
      <w:r>
        <w:rPr>
          <w:sz w:val="24"/>
          <w:szCs w:val="24"/>
        </w:rPr>
        <w:t xml:space="preserve"> hatálya alá tartozó pálcikák kivételével;</w:t>
      </w:r>
    </w:p>
    <w:p w14:paraId="5D9DBCC3"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75F6EF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Evőeszközök (villák, kések, kanalak, evőpálcikák);</w:t>
      </w:r>
    </w:p>
    <w:p w14:paraId="732FCED1"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C1E1BC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Tányérok;</w:t>
      </w:r>
    </w:p>
    <w:p w14:paraId="7A1C012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F64EB9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Szívószálak, a 90/385/EGK irányelv vagy a 93/42/EGK irányelv hatálya alá tartozó szívószálak kivételével;</w:t>
      </w:r>
    </w:p>
    <w:p w14:paraId="7DADEEB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4ABE8E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Italkeverő pálcikák;</w:t>
      </w:r>
    </w:p>
    <w:p w14:paraId="2212BAA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438FCFF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Léggömbökhöz - kivéve az ipari vagy más foglalkozásszerű felhasználásra szánt ballonokat, valamint a fogyasztók számára nem értékesített alkalmazásokat - rögzítendő és azokat tartó pálcák, beleértve a léggömböt a pálcához rögzítő szerkezetet;</w:t>
      </w:r>
    </w:p>
    <w:p w14:paraId="7F2935A0"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6AFB3C99"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Expandált polisztirolból készült ételtároló edények, azaz ételtartók, például dobozok tetővel vagy anélkül, amelyek olyan ételek tárolására szolgálnak, amelyek:</w:t>
      </w:r>
    </w:p>
    <w:p w14:paraId="4350B4F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azonnal fogyaszthatók helyben vagy elvitelre,</w:t>
      </w:r>
    </w:p>
    <w:p w14:paraId="0A3C2E0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fogyasztása általában az edényből történik, valamint</w:t>
      </w:r>
    </w:p>
    <w:p w14:paraId="41BF378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készételként fogyaszthatók, azaz további elkészítést, például főzést, forralást vagy melegítést nem igényelnek,</w:t>
      </w:r>
    </w:p>
    <w:p w14:paraId="5FC34170"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beleértve például a gyorsételekhez vagy egyéb készételekhez használt ételtároló edényeket, kivéve az italtárolókat, tányérokat és tasakokat, valamint az ételt tartalmazó csomagolásokat;</w:t>
      </w:r>
    </w:p>
    <w:p w14:paraId="60B25361"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3435AD7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Expandált polisztirolból készült italtárolók, beleértve a kupakjukat és a fedelüket is;</w:t>
      </w:r>
    </w:p>
    <w:p w14:paraId="0A4BB5E6"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58DF6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Expandált polisztirolból készült italtartó poharak, beleértve azok tetejét és fedelét is.</w:t>
      </w:r>
    </w:p>
    <w:p w14:paraId="02486DB3"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FA52B31"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C. RÉSZ</w:t>
      </w:r>
    </w:p>
    <w:p w14:paraId="6E76D55C"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FE4241B"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 termékkövetelményekről szóló 6. cikk (1) bekezdésének hatálya alá tartozó egyszer használatos műanyagtermékek</w:t>
      </w:r>
    </w:p>
    <w:p w14:paraId="4E49F90C"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6E42804"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Legfeljebb három liter űrtartalmú italtárolók, vagyis folyadék tárolására használatos tárolók, például italpalackok, beleértve a kupakjukat és a fedelüket is, valamint a kompozit italcsomagolás, beleértve a kupakokat és a fedeleket is, kivéve:</w:t>
      </w:r>
    </w:p>
    <w:p w14:paraId="79DFCF1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A184A39"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azokat az üveg vagy fém italtárolókat, amelyeknek a kupakja vagy a fedele műanyagból készült,</w:t>
      </w:r>
    </w:p>
    <w:p w14:paraId="30E42E45"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a 609/2013/EU európai parlamenti és tanácsi rendelet</w:t>
      </w:r>
      <w:r>
        <w:rPr>
          <w:rStyle w:val="FootnoteReference"/>
          <w:rFonts w:cs="TimesNewRoman"/>
          <w:sz w:val="24"/>
          <w:szCs w:val="24"/>
          <w:lang w:val="fr-LU" w:eastAsia="fr-BE"/>
        </w:rPr>
        <w:footnoteReference w:id="3"/>
      </w:r>
      <w:r>
        <w:rPr>
          <w:sz w:val="24"/>
          <w:szCs w:val="24"/>
        </w:rPr>
        <w:t xml:space="preserve"> 2. cikkének g) pontjában meghatározott speciális gyógyászati célra szánt folyékony élelmiszerek tárolására szánt és használt italtárolókat.</w:t>
      </w:r>
    </w:p>
    <w:p w14:paraId="3CCFE46F"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0E7B4839"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2A8E7AA4"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 RÉSZ</w:t>
      </w:r>
    </w:p>
    <w:p w14:paraId="3703A771"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223B66EE"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A jelölési követelményekről szóló 7. cikk hatálya alá tartozó egyszer használatos műanyagtermékek</w:t>
      </w:r>
    </w:p>
    <w:p w14:paraId="5BE879D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0984FC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Egészségügyi betétek (párnák), tamponok és tamponapplikátorok;</w:t>
      </w:r>
    </w:p>
    <w:p w14:paraId="6E3A6BF9"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24D1D0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Nedves törlőkendők, azaz előre megnedvesített kozmetikai és háztartási törlőkendők;</w:t>
      </w:r>
    </w:p>
    <w:p w14:paraId="735E83C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BF36AE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Dohánytermékek szűrővel, valamint azok a szűrők, </w:t>
      </w:r>
    </w:p>
    <w:p w14:paraId="1457E2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amelyeket a dohánytermékekkel történő együttes használathoz hoznak forgalomba;</w:t>
      </w:r>
    </w:p>
    <w:p w14:paraId="0AA1BAC3"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9867F5D"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Italpoharak.</w:t>
      </w:r>
    </w:p>
    <w:p w14:paraId="37D0F94A"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66F851F0"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E. RÉSZ</w:t>
      </w:r>
    </w:p>
    <w:p w14:paraId="5F6C5E05"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B5FCCFE"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A kiterjesztett gyártói felelősségről szóló 8. cikk hatálya alá tartozó egyszer használatos műanyagtermékek</w:t>
      </w:r>
    </w:p>
    <w:p w14:paraId="05480AB0"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37CEB052"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Ételtároló edények, azaz ételtartók, például dobozok tetővel vagy anélkül, amelyek olyan ételek tárolására szolgálnak, amelyek:</w:t>
      </w:r>
    </w:p>
    <w:p w14:paraId="0F4EFDFA"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azonnal fogyaszthatók helyben vagy elvitelre,</w:t>
      </w:r>
    </w:p>
    <w:p w14:paraId="64721E89"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fogyasztása általában az edényből történik, valamint</w:t>
      </w:r>
    </w:p>
    <w:p w14:paraId="090A48E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készételként fogyaszthatók, azaz további elkészítést, például főzést, forralást vagy melegítést nem igényelnek,</w:t>
      </w:r>
    </w:p>
    <w:p w14:paraId="6A9ADB25"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beleértve például a gyorsételekhez vagy egyéb készételekhez használt ételtároló edényeket, kivéve az italtárolókat, tányérokat és tasakokat, valamint az ételt tartalmazó csomagolásokat;</w:t>
      </w:r>
    </w:p>
    <w:p w14:paraId="51D5FA80"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8F7D51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Flexibilis anyagból készült zacskók vagy csomagolások olyan élelmiszerek tárolására, amelyeket a zacskóból vagy csomagolásból készételként történő azonnali fogyasztásra szánnak;</w:t>
      </w:r>
    </w:p>
    <w:p w14:paraId="76B6D654"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F4941D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Legfeljebb három liter űrtartalmú italtárolók, vagyis folyadék tárolására használatos tárolók, például italpalackok, beleértve a kupakjukat és a fedelüket is, valamint a kompozit italcsomagolás, beleértve a kupakokat és a fedeleket is, kivéve azokat az üveg vagy fém italtárolókat, amelyeknek a kupakja vagy a fedele műanyagból készült;</w:t>
      </w:r>
    </w:p>
    <w:p w14:paraId="186F892F"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EE8CC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Italtartó poharak, beleértve azok tetejét és fedelét;</w:t>
      </w:r>
    </w:p>
    <w:p w14:paraId="1F9B19FD"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C40D0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Könnyű műanyag hordtasakok a 94/62/EK irányelv 3. cikkének 1c. pontjában meghatározottak szerint.</w:t>
      </w:r>
    </w:p>
    <w:p w14:paraId="7D7D7E4A"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262EA32"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lastRenderedPageBreak/>
        <w:t>II. A kiterjesztett gyártói felelősségről szóló 8. cikk (3) bekezdésének hatálya alá tartozó egyszer használatos műanyagtermékek</w:t>
      </w:r>
    </w:p>
    <w:p w14:paraId="37BF702F"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463F83C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Nedves törlőkendők, azaz előre megnedvesített kozmetikai és háztartási törlőkendők;</w:t>
      </w:r>
    </w:p>
    <w:p w14:paraId="0DAE644C"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764A81A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Léggömbök, kivéve az ipari vagy más foglalkozásszerű felhasználásra szánt ballonokat, valamint a fogyasztók számára nem értékesített alkalmazásokat.</w:t>
      </w:r>
    </w:p>
    <w:p w14:paraId="235C35BD"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3866050"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A kiterjesztett gyártói felelősségről szóló 8. cikk (3) bekezdésének hatálya alá tartozó egyéb egyszer használatos műanyagtermékek</w:t>
      </w:r>
    </w:p>
    <w:p w14:paraId="7529AFEE"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5B4F399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Dohánytermékek szűrővel, valamint azok a szűrők, amelyeket a dohánytermékekkel történő együttes használathoz hoznak forgalomba.</w:t>
      </w:r>
    </w:p>
    <w:p w14:paraId="09623B7E"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18910321"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F. RÉSZ</w:t>
      </w:r>
    </w:p>
    <w:p w14:paraId="0E31BED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573EEC4"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Az elkülönített gyűjtésről szóló 9. cikk és a termékkövetelményekről szóló 6. cikk (2) bekezdésének hatálya alá tartozó egyszer használatos műanyagtermékek</w:t>
      </w:r>
    </w:p>
    <w:p w14:paraId="6B9B9DCE"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4C01E86A"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Legfeljebb három liter űrtartalmú italpalackok, beleértve a kupakjukat és a fedelüket is, kivéve:</w:t>
      </w:r>
    </w:p>
    <w:p w14:paraId="003DF8AA"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479302D"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azokat az üveg vagy fém italpalackokat, amelyeknek a kupakja vagy a fedele műanyagból készült;</w:t>
      </w:r>
    </w:p>
    <w:p w14:paraId="183A24D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a 609/2013/EU rendelet 2. cikkének g) pontjában meghatározott speciális gyógyászati célra szánt folyékony élelmiszerek tárolására szánt és használt italpalackokat.</w:t>
      </w:r>
    </w:p>
    <w:p w14:paraId="09A3081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4E7A53F7"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G. RÉSZ</w:t>
      </w:r>
    </w:p>
    <w:p w14:paraId="45F3FD00"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C3DD3C6"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A figyelemfelkeltő intézkedésekről szóló 10. cikk hatálya alá tartozó egyszer használatos műanyagtermékek</w:t>
      </w:r>
    </w:p>
    <w:p w14:paraId="2AF2268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BDBDF9"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Ételtároló edények, azaz ételtartók, például dobozok tetővel vagy anélkül, amelyek olyan ételek tárolására szolgálnak, amelyek:</w:t>
      </w:r>
    </w:p>
    <w:p w14:paraId="582DCFA0"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azonnal fogyaszthatók helyben vagy elvitelre,</w:t>
      </w:r>
    </w:p>
    <w:p w14:paraId="7083029E"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fogyasztása általában az edényből történik, valamint</w:t>
      </w:r>
    </w:p>
    <w:p w14:paraId="6D084AE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készételként fogyaszthatók, azaz további elkészítést, például főzést, forralást vagy melegítést nem igényelnek,</w:t>
      </w:r>
    </w:p>
    <w:p w14:paraId="722E6225"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beleértve például a gyorsételekhez vagy egyéb készételekhez használt ételtároló edényeket, kivéve az italtárolókat, tányérokat és tasakokat, valamint az ételt tartalmazó csomagolásokat;</w:t>
      </w:r>
    </w:p>
    <w:p w14:paraId="78782ABC"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350C73E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Flexibilis anyagból készült zacskók vagy csomagolások olyan élelmiszerek tárolására, amelyeket a zacskóból vagy csomagolásból készételként történő azonnali fogyasztásra szánnak;</w:t>
      </w:r>
    </w:p>
    <w:p w14:paraId="39C6ECF0"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1F7C7760"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3. Legfeljebb három liter űrtartalmú italtárolók, vagyis folyadék tárolására használatos tárolók, például italpalackok, beleértve a kupakjukat és a fedelüket is, valamint a kompozit italcsomagolás, beleértve a kupakokat és a fedeleket is, kivéve azokat az üveg vagy fém italtárolókat, amelyeknek a kupakja vagy a fedele műanyagból készült;</w:t>
      </w:r>
    </w:p>
    <w:p w14:paraId="04FC5C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78E7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Italtartó poharak, beleértve azok tetejét és fedelét;</w:t>
      </w:r>
    </w:p>
    <w:p w14:paraId="1967EA2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28E20C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Dohánytermékek szűrővel, valamint azok a szűrők, amelyeket a dohánytermékekkel történő együttes használathoz hoznak forgalomba;</w:t>
      </w:r>
    </w:p>
    <w:p w14:paraId="618C208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7C8914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Nedves törlőkendők, azaz előre megnedvesített kozmetikai és háztartási törlőkendők;</w:t>
      </w:r>
    </w:p>
    <w:p w14:paraId="447AB134"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31ECF241"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Léggömbök, kivéve az ipari vagy más foglalkozásszerű felhasználásra szánt ballonokat, valamint a fogyasztók számára nem értékesített alkalmazásokat;</w:t>
      </w:r>
    </w:p>
    <w:p w14:paraId="6A1683B3"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7CC74CE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Könnyű műanyag hordtasakok a 94/62/EK irányelv 3. cikkének 1</w:t>
      </w:r>
      <w:r>
        <w:rPr>
          <w:i/>
          <w:iCs/>
          <w:sz w:val="24"/>
          <w:szCs w:val="24"/>
        </w:rPr>
        <w:t>c</w:t>
      </w:r>
      <w:r>
        <w:rPr>
          <w:sz w:val="24"/>
          <w:szCs w:val="24"/>
        </w:rPr>
        <w:t>. pontjában meghatározottak szerint;</w:t>
      </w:r>
    </w:p>
    <w:p w14:paraId="04DF3DAD"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034DC90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Egészségügyi betétek (párnák), tamponok és tamponapplikátorok.</w:t>
      </w:r>
    </w:p>
    <w:p w14:paraId="5A25C75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65D3E7A"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232D86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3A52B5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27D1B9A"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649898B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4D289AE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9CB3648"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talin" w:date="2020-08-08T13:55:00Z" w:initials="KA">
    <w:p w14:paraId="73EE41FE" w14:textId="77777777" w:rsidR="00315964" w:rsidRDefault="007D7827">
      <w:pPr>
        <w:pStyle w:val="CommentText"/>
      </w:pPr>
      <w:r>
        <w:rPr>
          <w:rStyle w:val="CommentReference"/>
        </w:rPr>
        <w:annotationRef/>
      </w:r>
      <w:r>
        <w:t>DIRECTIVE (UE) 2019/904: https://eur-lex.europa.eu/legal-content/FR-HU/TXT/?uri=CELEX:32019L0904&amp;fromTab=ALL&amp;from=HU</w:t>
      </w:r>
    </w:p>
  </w:comment>
  <w:comment w:id="1" w:author="Katalin" w:date="2020-08-08T13:55:00Z" w:initials="KA">
    <w:p w14:paraId="1666A550" w14:textId="77777777" w:rsidR="00315964" w:rsidRDefault="007D7827">
      <w:pPr>
        <w:pStyle w:val="CommentText"/>
      </w:pPr>
      <w:r>
        <w:rPr>
          <w:rStyle w:val="CommentReference"/>
        </w:rPr>
        <w:annotationRef/>
      </w:r>
      <w:r>
        <w:t xml:space="preserve">For </w:t>
      </w:r>
      <w:r>
        <w:t>the following definitions see DIRECTIVE (UE) 2019/904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EE41FE" w15:done="0"/>
  <w15:commentEx w15:paraId="1666A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EE41FE" w16cid:durableId="22DF94B2"/>
  <w16cid:commentId w16cid:paraId="1666A550" w16cid:durableId="22DF94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E6E8B" w14:textId="77777777" w:rsidR="007104F8" w:rsidRDefault="007104F8" w:rsidP="007104F8">
      <w:pPr>
        <w:spacing w:after="0" w:line="240" w:lineRule="auto"/>
      </w:pPr>
      <w:r>
        <w:separator/>
      </w:r>
    </w:p>
  </w:endnote>
  <w:endnote w:type="continuationSeparator" w:id="0">
    <w:p w14:paraId="03C4D5DA"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67D53" w14:textId="77777777" w:rsidR="007104F8" w:rsidRDefault="007104F8" w:rsidP="007104F8">
      <w:pPr>
        <w:spacing w:after="0" w:line="240" w:lineRule="auto"/>
      </w:pPr>
      <w:r>
        <w:separator/>
      </w:r>
    </w:p>
  </w:footnote>
  <w:footnote w:type="continuationSeparator" w:id="0">
    <w:p w14:paraId="4A56B23A" w14:textId="77777777" w:rsidR="007104F8" w:rsidRDefault="007104F8" w:rsidP="007104F8">
      <w:pPr>
        <w:spacing w:after="0" w:line="240" w:lineRule="auto"/>
      </w:pPr>
      <w:r>
        <w:continuationSeparator/>
      </w:r>
    </w:p>
  </w:footnote>
  <w:footnote w:id="1">
    <w:p w14:paraId="1FF7F203" w14:textId="77777777" w:rsidR="007104F8" w:rsidRPr="006227D4" w:rsidRDefault="007104F8" w:rsidP="007104F8">
      <w:pPr>
        <w:pStyle w:val="FootnoteText"/>
      </w:pPr>
      <w:r>
        <w:rPr>
          <w:rStyle w:val="FootnoteReference"/>
        </w:rPr>
        <w:footnoteRef/>
      </w:r>
      <w:r>
        <w:t xml:space="preserve"> A Tanács 90/385/EGK irányelve (1990. június 20.) az aktív beültethető orvostechnikai eszközökre vonatkozó tagállami jogszabályok közelítéséről (HL L 189., 1990.7.20., 17. o.)</w:t>
      </w:r>
    </w:p>
  </w:footnote>
  <w:footnote w:id="2">
    <w:p w14:paraId="060C1DFB" w14:textId="77777777" w:rsidR="007104F8" w:rsidRPr="006227D4" w:rsidRDefault="007104F8" w:rsidP="007104F8">
      <w:pPr>
        <w:pStyle w:val="FootnoteText"/>
      </w:pPr>
      <w:r>
        <w:rPr>
          <w:rStyle w:val="FootnoteReference"/>
        </w:rPr>
        <w:footnoteRef/>
      </w:r>
      <w:r>
        <w:t xml:space="preserve"> A Tanács 93/42/EGK irányelve (1993. június 14.) az orvostechnikai eszközökről (HL L 169., 1993.7.12., 1. o.)</w:t>
      </w:r>
    </w:p>
  </w:footnote>
  <w:footnote w:id="3">
    <w:p w14:paraId="19E6E533" w14:textId="77777777" w:rsidR="007104F8" w:rsidRPr="006227D4" w:rsidRDefault="007104F8" w:rsidP="007104F8">
      <w:pPr>
        <w:pStyle w:val="FootnoteText"/>
      </w:pPr>
      <w:r>
        <w:rPr>
          <w:rStyle w:val="FootnoteReference"/>
        </w:rPr>
        <w:footnoteRef/>
      </w:r>
      <w:r>
        <w:t xml:space="preserve"> Az Európai Parlament és a Tanács 609/2013/EU rendelete (2013. június 12.) a csecsemők és kisgyermekek számára készült, a speciális gyógyászati célra szánt, valamint a testtömeg-szabályozás céljára szolgáló, teljes napi étrendet helyettesítő élelmiszerekről, továbbá a 92/52/EGK tanácsi irányelv, a 96/8/EK, az 1999/21/EK, a 2006/125/EK és a 2006/141/EK bizottsági irányelv, a 2009/39/EK európai parlamenti és tanácsi irányelv és a 41/2009/EK és a 953/2009/EK bizottsági rendelet hatályon kívül helyezéséről (HL L 181., 2013.6.29., 35. 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315964"/>
    <w:rsid w:val="00475004"/>
    <w:rsid w:val="007104F8"/>
    <w:rsid w:val="007D7827"/>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C320"/>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hu-HU"/>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2020-08-13T07:31:00Z</dcterms:modified>
</cp:coreProperties>
</file>