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CCB6" w14:textId="44933DA4" w:rsidR="000C1A12" w:rsidRDefault="000C1A12" w:rsidP="000C1A12">
      <w:pPr>
        <w:spacing w:after="0" w:line="240" w:lineRule="auto"/>
        <w:rPr>
          <w:b/>
          <w:sz w:val="32"/>
          <w:szCs w:val="32"/>
        </w:rPr>
      </w:pPr>
      <w:r>
        <w:rPr>
          <w:rFonts w:ascii="Courier New" w:hAnsi="Courier New"/>
          <w:sz w:val="20"/>
        </w:rPr>
        <w:t>1. ------IND- 2020 0486 L-- PL- ------ 20200812 --- --- PROJET</w:t>
      </w:r>
    </w:p>
    <w:p w14:paraId="5AB4C723" w14:textId="5E46F097" w:rsidR="007104F8" w:rsidRPr="008E1574" w:rsidRDefault="007104F8" w:rsidP="00206537">
      <w:pPr>
        <w:keepNext/>
        <w:keepLines/>
        <w:jc w:val="center"/>
        <w:rPr>
          <w:b/>
          <w:sz w:val="32"/>
          <w:szCs w:val="32"/>
        </w:rPr>
      </w:pPr>
      <w:r>
        <w:rPr>
          <w:b/>
          <w:sz w:val="32"/>
        </w:rPr>
        <w:t>Projekt ustawy o zmniejszeniu wpływu niektórych produktów z tworzyw sztucznych na środowisko</w:t>
      </w:r>
    </w:p>
    <w:p w14:paraId="64486307" w14:textId="77777777" w:rsidR="007104F8" w:rsidRPr="008E1574" w:rsidRDefault="007104F8" w:rsidP="00206537">
      <w:pPr>
        <w:pStyle w:val="Article"/>
        <w:keepNext/>
        <w:keepLines/>
        <w:numPr>
          <w:ilvl w:val="0"/>
          <w:numId w:val="0"/>
        </w:numPr>
        <w:spacing w:before="240"/>
        <w:rPr>
          <w:rFonts w:asciiTheme="minorHAnsi" w:hAnsiTheme="minorHAnsi"/>
          <w:sz w:val="24"/>
          <w:szCs w:val="24"/>
          <w:lang w:val="fr-LU"/>
        </w:rPr>
      </w:pPr>
    </w:p>
    <w:p w14:paraId="480BF12A" w14:textId="77777777" w:rsidR="007104F8" w:rsidRPr="008E1574" w:rsidRDefault="007104F8" w:rsidP="00206537">
      <w:pPr>
        <w:pStyle w:val="Article"/>
        <w:keepNext/>
        <w:keepLines/>
        <w:numPr>
          <w:ilvl w:val="0"/>
          <w:numId w:val="0"/>
        </w:numPr>
        <w:spacing w:before="240"/>
        <w:rPr>
          <w:rFonts w:asciiTheme="minorHAnsi" w:hAnsiTheme="minorHAnsi"/>
          <w:b w:val="0"/>
          <w:sz w:val="24"/>
          <w:szCs w:val="24"/>
        </w:rPr>
      </w:pPr>
      <w:r>
        <w:rPr>
          <w:rFonts w:asciiTheme="minorHAnsi" w:hAnsiTheme="minorHAnsi"/>
          <w:sz w:val="24"/>
        </w:rPr>
        <w:t>Artykuł 1. Cele</w:t>
      </w:r>
    </w:p>
    <w:p w14:paraId="0D2FA823" w14:textId="77777777" w:rsidR="007104F8" w:rsidRPr="008E1574" w:rsidRDefault="007104F8" w:rsidP="007104F8">
      <w:pPr>
        <w:pStyle w:val="Article"/>
        <w:numPr>
          <w:ilvl w:val="0"/>
          <w:numId w:val="0"/>
        </w:numPr>
        <w:spacing w:before="240"/>
        <w:rPr>
          <w:rFonts w:asciiTheme="minorHAnsi" w:hAnsiTheme="minorHAnsi"/>
          <w:b w:val="0"/>
          <w:sz w:val="24"/>
          <w:szCs w:val="24"/>
        </w:rPr>
      </w:pPr>
      <w:r>
        <w:rPr>
          <w:rFonts w:asciiTheme="minorHAnsi" w:hAnsiTheme="minorHAnsi"/>
          <w:b w:val="0"/>
          <w:sz w:val="24"/>
        </w:rPr>
        <w:t>Celem ustawy jest zapobieganie oddziaływaniu niektórych produktów z tworzyw sztucznych na środowisko, w szczególności środowisko wodne, i na zdrowie ludzkie, a także zmniejszenie tego oddziaływania oraz promowanie przejścia na gospodarkę o obiegu zamkniętym z innowacyjnymi i trwałymi produktami, materiałami i wzorcami handlowymi, przyczyniającymi się również do skutecznego funkcjonowania rynku wewnętrznego.</w:t>
      </w:r>
    </w:p>
    <w:p w14:paraId="7851EBF3"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t>Artykuł 2. Zakres stosowania</w:t>
      </w:r>
    </w:p>
    <w:p w14:paraId="79D5D40B"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Niniejsza ustawa ma zastosowanie do produktów jednorazowego użytku z tworzyw sztucznych wymienionych w załączniku, do produktów wyprodukowanych z tworzywa sztucznego oksydegradowalnego i do narzędzi połowowych zawierających tworzywa sztuczne.</w:t>
      </w:r>
    </w:p>
    <w:p w14:paraId="1B349320"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Stanowi ona ustawę specjalną w stosunku do zmienionej ustawy z dnia 21 marca 2012 r. o odpadach i zasobach (zwanej dalej „ustawą z dnia 21 marca 2012 r.”) oraz zmienionej ustawy z dnia 21 marca 2017 r. o opakowaniach i odpadach opakowaniowych. </w:t>
      </w:r>
    </w:p>
    <w:p w14:paraId="4AFCE01B"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rPr>
        <w:t>Artykuł 3. Definicje</w:t>
      </w:r>
    </w:p>
    <w:p w14:paraId="622E4F76"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Do celów niniejszej ustawy przyjmuje się następujące definicje: </w:t>
      </w:r>
    </w:p>
    <w:p w14:paraId="25AB5209" w14:textId="77777777" w:rsidR="007104F8" w:rsidRPr="00187383"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1. „narzędzia połowowe stanowiące odpady” oznaczają narzędzie połowowe wchodzące w zakres definicji odpadów zawartej w art. 4 ustawy z dnia 21 marca 2012 r., w tym wszelkie oddzielne elementy, substancje lub materiały, które w momencie wyrzucenia, w tym porzucenia lub utraty, takich narzędzi połowowych stanowiły ich część lub były do nich przymocowane;</w:t>
      </w:r>
    </w:p>
    <w:p w14:paraId="3876F9E3"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2. „opakowanie” oznacza opakowanie w rozumieniu art. 3 zmienionej ustawy z dnia 21 marca 2017 r. o opakowaniach i odpadach opakowaniowych; </w:t>
      </w:r>
    </w:p>
    <w:p w14:paraId="475D5268" w14:textId="77777777" w:rsidR="007104F8" w:rsidRPr="007115EB" w:rsidRDefault="007104F8" w:rsidP="007104F8">
      <w:pPr>
        <w:pStyle w:val="Article"/>
        <w:numPr>
          <w:ilvl w:val="0"/>
          <w:numId w:val="0"/>
        </w:numPr>
        <w:spacing w:before="240"/>
        <w:rPr>
          <w:rFonts w:asciiTheme="minorHAnsi" w:hAnsiTheme="minorHAnsi" w:cs="TimesNewRoman"/>
          <w:b w:val="0"/>
          <w:spacing w:val="-4"/>
          <w:sz w:val="24"/>
          <w:szCs w:val="24"/>
        </w:rPr>
      </w:pPr>
      <w:r w:rsidRPr="007115EB">
        <w:rPr>
          <w:rFonts w:asciiTheme="minorHAnsi" w:hAnsiTheme="minorHAnsi"/>
          <w:b w:val="0"/>
          <w:spacing w:val="-4"/>
          <w:sz w:val="24"/>
        </w:rPr>
        <w:t>3. „narzędzie połowowe” oznaczają sprzęt wykorzystywany w rybołówstwie lub akwakulturze w celu lokalizowania, chwytania lub hodowli żywych zasobów morza lub sprzęt pływający na powierzchni morza i stosowany do wabienia i chwytania lub hodowli takich żywych zasobów morza;</w:t>
      </w:r>
    </w:p>
    <w:p w14:paraId="622F2A8F" w14:textId="77777777" w:rsidR="007104F8" w:rsidRPr="00A32EA7"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4. „udostępnianie na rynku” oznacza dostarczanie produktu na rynek luksemburski do celów dystrybucji, stosowania lub użytkowania w ramach działalności handlowej, odpłatnie lub nieodpłatnie; </w:t>
      </w:r>
    </w:p>
    <w:p w14:paraId="4680946E" w14:textId="77777777" w:rsidR="007104F8" w:rsidRPr="00F2168F"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lastRenderedPageBreak/>
        <w:t>5. „wprowadzenie do obrotu” oznacza pierwsze udostępnienie produktu na rynku luksemburskim;</w:t>
      </w:r>
    </w:p>
    <w:p w14:paraId="4DCB09B1" w14:textId="3766227D"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6. „norma zharmonizowana” oznacza normę zharmonizowaną zgodnie z definicją w art. 2 ust. 1 lit. c) rozporządzenia (WE) nr 1025/2012; </w:t>
      </w:r>
    </w:p>
    <w:p w14:paraId="013F9AF4"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7. „tworzywo sztuczne” oznacza materiał składający się z polimeru zgodnie z definicją w art. 3 pkt 5 rozporządzenia (WE) nr 1907/2006 Parlamentu Europejskiego i Rady, do którego mogły zostać dodane dodatki lub inne substancje i który może funkcjonować jako główny składnik strukturalny produktów końcowych, łącznie z kauczukami na bazie polimerów i tworzywami sztucznymi pochodzenia biologicznego lub biodegradowalnymi, niezależnie od tego, czy pochodzą z biomasy lub czy są przeznaczone do rozkładu biologicznego z upływem czasu. </w:t>
      </w:r>
    </w:p>
    <w:p w14:paraId="00283958" w14:textId="1003AC00"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Definicja ta wyklucza polimery naturalne, które nie zostały chemicznie zmodyfikowane;</w:t>
      </w:r>
    </w:p>
    <w:p w14:paraId="222C8903" w14:textId="6F82549A"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8. „tworzywo sztuczne biodegradowalne” oznacza tworzywo sztuczne o charakterze umożliwiającym jego fizyczny lub biologiczny rozkład w taki sposób, że ulega ostatecznie rozkładowi na dwutlenek węgla (CO</w:t>
      </w:r>
      <w:r>
        <w:rPr>
          <w:rFonts w:asciiTheme="minorHAnsi" w:hAnsiTheme="minorHAnsi"/>
          <w:b w:val="0"/>
          <w:sz w:val="24"/>
          <w:vertAlign w:val="subscript"/>
        </w:rPr>
        <w:t>2</w:t>
      </w:r>
      <w:r>
        <w:rPr>
          <w:rFonts w:asciiTheme="minorHAnsi" w:hAnsiTheme="minorHAnsi"/>
          <w:b w:val="0"/>
          <w:sz w:val="24"/>
        </w:rPr>
        <w:t>), biomasę i wodę, oraz, zgodnie z normami europejskimi mającymi zastosowanie do opakowań, podlega utylizacji poprzez kompostowanie i fermentację beztlenową;</w:t>
      </w:r>
    </w:p>
    <w:p w14:paraId="2191053B" w14:textId="77EA3864"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9. „tworzywo sztuczne oksydegradowalne” oznacza materiały z tworzyw sztucznych zawierające dodatki, które pod wpływem utleniania prowadzą do rozpadu tych materiałów na mikrofragmenty lub do ich rozkładu chemicznego;</w:t>
      </w:r>
    </w:p>
    <w:p w14:paraId="53825AE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10. „wyroby tytoniowe” oznaczają wyroby tytoniowe w rozumieniu art. 2 ust. 1 lit. a) zmienionej ustawy z dnia 11 sierpnia 2006 r. o ograniczaniu użycia tytoniu;</w:t>
      </w:r>
    </w:p>
    <w:p w14:paraId="4AE76CF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11. „produkt jednorazowego użytku z tworzyw sztucznych” oznacza produkt, który jest w całości lub częściowo wykonany z tworzyw sztucznych i który nie został przeznaczony, zaprojektowany ani wprowadzony do obrotu tak, aby osiągnąć w ramach okresu żywotności wielokrotną rotację poprzez zwrócenie go do producenta w celu powtórnego napełnienia lub ponownego użycia do tego samego celu, do którego był pierwotnie przeznaczony. </w:t>
      </w:r>
    </w:p>
    <w:p w14:paraId="2B4D5B3D" w14:textId="77777777" w:rsidR="007104F8" w:rsidRPr="00F2168F"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Zastosowanie mają definicje „odpadów”, „zbiórki”, „selektywnej zbiórki”, „przetwarzania”, „producenta produktów” i „systemu rozszerzonej odpowiedzialności producentów” zawarte w art. 4 zmienionej ustawy z dnia 21 marca 2012 r.</w:t>
      </w:r>
    </w:p>
    <w:p w14:paraId="51B1FC84"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t>Artykuł 4. Zmniejszenie zużycia</w:t>
      </w:r>
    </w:p>
    <w:p w14:paraId="34312720" w14:textId="69968051"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Producenci produktów podejmują środki prowadzące do mierzalnego ilościowego zmniejszenia zużycia produktów jednorazowego użytku z tworzyw sztucznych wymienionych w części A załącznika do 2026 r. w stosunku do 2022 r. Zmniejszenie to w wyznaczonym okresie powinno wynieść co najmniej 20 % w stosunku do liczby sztuk wprowadzonych do obrotu. Od dnia 1 stycznia 2026 r. należy co roku uzyskać zmniejszenie o co najmniej 10 % w stosunku do liczby sztuk wprowadzonych do obrotu w ciągu poprzedniego roku. Producenci produktów powinni </w:t>
      </w:r>
      <w:r>
        <w:rPr>
          <w:rFonts w:asciiTheme="minorHAnsi" w:hAnsiTheme="minorHAnsi"/>
          <w:b w:val="0"/>
          <w:sz w:val="24"/>
        </w:rPr>
        <w:lastRenderedPageBreak/>
        <w:t xml:space="preserve">obciążyć odpowiedzialnością za wykonanie tego obowiązku zatwierdzony podmiot zgodnie z art. 19 ustawy z dnia 21 marca 2012 r. </w:t>
      </w:r>
    </w:p>
    <w:p w14:paraId="5CB6C1E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Minister właściwy do spraw środowiska (zwany dalej „ministrem”) zapewnia koordynację środków koniecznych do uzyskania ambitnego i trwałego zmniejszenia zużycia produktów jednorazowego użytku z tworzyw sztucznych wymienionych w części A załącznika, zgodnie z ogólnymi celami unijnej polityki w dziedzinie odpadów, w szczególności celem zapobiegania powstawaniu odpadów, tak aby doprowadzić do znaczącego odwrócenia wzrostowych tendencji zużycia. </w:t>
      </w:r>
    </w:p>
    <w:p w14:paraId="6A3A8FF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Urząd ds. Środowiska zapewnia monitorowanie produktów jednorazowego użytku z tworzyw sztucznych wymienionych w części A załącznika wprowadzonych do obrotu oraz przyjętych środków w zakresie zmniejszania zużycia.</w:t>
      </w:r>
    </w:p>
    <w:p w14:paraId="63B2D68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bookmarkStart w:id="0" w:name="_Hlk25240711"/>
      <w:r>
        <w:rPr>
          <w:rFonts w:asciiTheme="minorHAnsi" w:hAnsiTheme="minorHAnsi"/>
          <w:b w:val="0"/>
          <w:sz w:val="24"/>
        </w:rPr>
        <w:t>W tym celu zatwierdzony podmiot informuje, w ramach rocznego sprawozdania, o którym mowa w art. 35 ustawy z dnia 21 marca 2012 r., o ilości produktów jednorazowego użytku z tworzyw sztucznych wymienionych w części A załącznika wprowadzonych do obrotu w ciągu poprzedniego roku.</w:t>
      </w:r>
    </w:p>
    <w:bookmarkEnd w:id="0"/>
    <w:p w14:paraId="5EDC7E96"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rPr>
        <w:t>Artykuł 5. Ograniczenie wprowadzania do obrotu</w:t>
      </w:r>
    </w:p>
    <w:p w14:paraId="4BF12B4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Zakazuje się wprowadzania do obrotu produktów jednorazowego użytku z tworzyw sztucznych wymienionych w części B załącznika i produktów wytworzonych z użyciem tworzywa sztucznego oksydegradowalnego.</w:t>
      </w:r>
    </w:p>
    <w:p w14:paraId="7E15A352"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t>Artykuł 6. Wymagania mające zastosowanie do produktów</w:t>
      </w:r>
    </w:p>
    <w:p w14:paraId="1F2775E8"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(1) Produkty jednorazowego użytku z tworzyw sztucznych wymienione w części C załącznika posiadające korki i pokrywki z tworzywa sztucznego mogą być wprowadzane do obrotu jedynie w przypadku, gdy korki i pokrywki pozostają przymocowane do pojemników na etapie przewidzianego zastosowania produktów. </w:t>
      </w:r>
    </w:p>
    <w:p w14:paraId="47E2F529"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Korków i pokrywek metalowych wyposażonych w plomby z tworzywa sztucznego nie uznaje się za wykonane z tworzywa sztucznego.</w:t>
      </w:r>
    </w:p>
    <w:p w14:paraId="68E4025B"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(2) W przypadku butelek na napoje wymienionych w części F załącznika stosuje się następujące wymogi: </w:t>
      </w:r>
    </w:p>
    <w:p w14:paraId="0E3B3C72" w14:textId="64BACC5D" w:rsidR="007104F8" w:rsidRPr="008E1574" w:rsidRDefault="007104F8" w:rsidP="007104F8">
      <w:pPr>
        <w:pStyle w:val="Article"/>
        <w:numPr>
          <w:ilvl w:val="0"/>
          <w:numId w:val="0"/>
        </w:numPr>
        <w:spacing w:before="240"/>
        <w:ind w:left="851"/>
        <w:rPr>
          <w:rFonts w:asciiTheme="minorHAnsi" w:hAnsiTheme="minorHAnsi" w:cs="TimesNewRoman"/>
          <w:b w:val="0"/>
          <w:sz w:val="24"/>
          <w:szCs w:val="24"/>
        </w:rPr>
      </w:pPr>
      <w:r>
        <w:rPr>
          <w:rFonts w:asciiTheme="minorHAnsi" w:hAnsiTheme="minorHAnsi"/>
          <w:b w:val="0"/>
          <w:sz w:val="24"/>
        </w:rPr>
        <w:t xml:space="preserve">1. od 2025 r. butelki na napoje wymienione w części F załącznika, których głównym składnikiem jest politereftalan etylenu (zwane dalej „butelkami PET”), zawierają co najmniej 25 % tworzyw sztucznych pochodzących z recyklingu, obliczane jako średnia dla wszystkich butelek PET wprowadzonych do obrotu </w:t>
      </w:r>
      <w:bookmarkStart w:id="1" w:name="_Hlk25242138"/>
      <w:r>
        <w:rPr>
          <w:rFonts w:asciiTheme="minorHAnsi" w:hAnsiTheme="minorHAnsi"/>
          <w:b w:val="0"/>
          <w:sz w:val="24"/>
        </w:rPr>
        <w:t>przez tego samego producenta</w:t>
      </w:r>
      <w:bookmarkEnd w:id="1"/>
      <w:r>
        <w:rPr>
          <w:rFonts w:asciiTheme="minorHAnsi" w:hAnsiTheme="minorHAnsi"/>
          <w:b w:val="0"/>
          <w:sz w:val="24"/>
        </w:rPr>
        <w:t>; oraz</w:t>
      </w:r>
    </w:p>
    <w:p w14:paraId="118A9DA9" w14:textId="77777777" w:rsidR="007104F8" w:rsidRPr="008E1574" w:rsidRDefault="007104F8" w:rsidP="007104F8">
      <w:pPr>
        <w:pStyle w:val="Article"/>
        <w:numPr>
          <w:ilvl w:val="0"/>
          <w:numId w:val="0"/>
        </w:numPr>
        <w:spacing w:before="240"/>
        <w:ind w:left="851"/>
        <w:rPr>
          <w:rFonts w:asciiTheme="minorHAnsi" w:hAnsiTheme="minorHAnsi" w:cs="TimesNewRoman"/>
          <w:b w:val="0"/>
          <w:sz w:val="24"/>
          <w:szCs w:val="24"/>
        </w:rPr>
      </w:pPr>
      <w:r>
        <w:rPr>
          <w:rFonts w:asciiTheme="minorHAnsi" w:hAnsiTheme="minorHAnsi"/>
          <w:b w:val="0"/>
          <w:sz w:val="24"/>
        </w:rPr>
        <w:t xml:space="preserve">2. od 2030 r. butelki na napoje wymienione w części F załącznika zawierają co najmniej 30 % tworzyw sztucznych pochodzących z recyklingu, obliczane jako średnia dla </w:t>
      </w:r>
      <w:r>
        <w:rPr>
          <w:rFonts w:asciiTheme="minorHAnsi" w:hAnsiTheme="minorHAnsi"/>
          <w:b w:val="0"/>
          <w:sz w:val="24"/>
        </w:rPr>
        <w:lastRenderedPageBreak/>
        <w:t>wszystkich takich butelek na napoje wprowadzonych do obrotu przez tego samego producenta.</w:t>
      </w:r>
    </w:p>
    <w:p w14:paraId="0DCF115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W tym celu podmiot zatwierdzony zgodnie z art. 19 ustawy z dnia 21 marca 2012 r. informuje, w ramach rocznego sprawozdania, o którym mowa w art. 35 tej samej ustawy, o ilości butelek PET udostępnionych na rynku w ciągu poprzedniego roku i średniej zawartości procentowej tworzyw sztucznych pochodzących z recyklingu w tych butelkach. W przypadku braku aktu wykonawczego Unii Europejskiej zasady obliczania i weryfikacji realizacji celów ustanawia Urząd ds. Środowiska.</w:t>
      </w:r>
    </w:p>
    <w:p w14:paraId="5BDA2D18"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t xml:space="preserve">Artykuł 7. Wymogi dotyczące oznakowania </w:t>
      </w:r>
    </w:p>
    <w:p w14:paraId="5C00EBC7" w14:textId="4D3C03B6"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rPr>
        <w:t>(1) Każdy produkt jednorazowego użytku z tworzyw sztucznych wymieniony w części D załącznika, który został wprowadzony do obrotu, posiada widoczne, czytelne i nieusuwalne oznakowanie umieszczone na jego opakowaniu lub na samym produkcie informujące konsumentów o następujących elementach:</w:t>
      </w:r>
    </w:p>
    <w:p w14:paraId="2A620703" w14:textId="5AE2E52C"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rPr>
      </w:pPr>
      <w:r>
        <w:rPr>
          <w:rFonts w:asciiTheme="minorHAnsi" w:hAnsiTheme="minorHAnsi"/>
          <w:b w:val="0"/>
          <w:sz w:val="24"/>
        </w:rPr>
        <w:t>1. odpowiednich metodach gospodarowania odpadami w przypadku tego produktu lub niewskazanych sposobach unieszkodliwiania odpadów w przypadku tego produktu – zgodnie z hierarchią postępowania z odpadami; oraz</w:t>
      </w:r>
    </w:p>
    <w:p w14:paraId="0DB3D024" w14:textId="77777777"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rPr>
      </w:pPr>
      <w:r>
        <w:rPr>
          <w:rFonts w:asciiTheme="minorHAnsi" w:hAnsiTheme="minorHAnsi"/>
          <w:b w:val="0"/>
          <w:sz w:val="24"/>
        </w:rPr>
        <w:t>2. obecności tworzyw sztucznych w tym produkcie i o wynikającym z tego negatywnym wpływie na środowisko zaśmiecania lub innych nieodpowiednich sposobów unieszkodliwiania odpadów w przypadku tego produktu.</w:t>
      </w:r>
    </w:p>
    <w:p w14:paraId="4644A495"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(2) Przepisy niniejszego artykułu dotyczące wyrobów tytoniowych dołącza się do przepisów przewidzianych w zmienionej ustawie z dnia 11 sierpnia 2006 r. o ograniczaniu użycia tytoniu.</w:t>
      </w:r>
    </w:p>
    <w:p w14:paraId="526AC81C"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t>Artykuł 8. Rozszerzona odpowiedzialność producenta</w:t>
      </w:r>
    </w:p>
    <w:p w14:paraId="658BCE29"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(1) Dla wszystkich produktów jednorazowego użytku z tworzyw sztucznych wymienionych w części E załącznika i narzędzi połowowych zawierających tworzywa sztuczne ustanawia się systemy rozszerzonej odpowiedzialności producenta zgodnie z odpowiednimi przepisami ustawy z dnia 21 marca 2012 r.</w:t>
      </w:r>
    </w:p>
    <w:p w14:paraId="3F70DBA1"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(2) Producenci produktów jednorazowego użytku z tworzyw sztucznych wymienionych w części E sekcja I załącznika pokrywają koszty zgodnie z odpowiednimi przepisami o rozszerzonej odpowiedzialności producenta zawartymi w ustawie z dnia 21 marca 2012 r. i ustawie z dnia 21 marca 2017 r. o opakowaniach i odpadach opakowaniowych, a także, o ile nie są już one uwzględnione, następujące koszty: </w:t>
      </w:r>
    </w:p>
    <w:p w14:paraId="67A67612"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 xml:space="preserve">1) koszty środków służących upowszechnianiu wiedzy, o których mowa w art. 10, w odniesieniu do tych produktów; </w:t>
      </w:r>
    </w:p>
    <w:p w14:paraId="780C6E6C"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 xml:space="preserve">2) koszty zbierania odpadów w przypadku tych produktów, które są pozostawiane w publicznych systemach zbierania odpadów, w tym koszty infrastruktury i jej funkcjonowania, a następnie koszty transportu tych odpadów i ich przetwarzania; oraz </w:t>
      </w:r>
    </w:p>
    <w:p w14:paraId="0FF515EE"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lastRenderedPageBreak/>
        <w:t>3) koszty sprzątania odpadów pochodzących z tych produktów, a następnie koszty ich transportu i przetwarzania.</w:t>
      </w:r>
    </w:p>
    <w:p w14:paraId="48570621" w14:textId="33B5364B"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bookmarkStart w:id="2" w:name="_Hlk33179213"/>
      <w:r>
        <w:rPr>
          <w:rFonts w:asciiTheme="minorHAnsi" w:hAnsiTheme="minorHAnsi"/>
          <w:b w:val="0"/>
          <w:sz w:val="24"/>
        </w:rPr>
        <w:t xml:space="preserve">(3) Producenci produktów jednorazowego użytku z tworzyw sztucznych wymienionych w części E sekcje II </w:t>
      </w:r>
      <w:bookmarkEnd w:id="2"/>
      <w:r>
        <w:rPr>
          <w:rFonts w:asciiTheme="minorHAnsi" w:hAnsiTheme="minorHAnsi"/>
          <w:b w:val="0"/>
          <w:sz w:val="24"/>
        </w:rPr>
        <w:t>i III załącznika pokrywają co najmniej następujące koszty</w:t>
      </w:r>
      <w:bookmarkStart w:id="3" w:name="_Hlk33179167"/>
      <w:r>
        <w:rPr>
          <w:rFonts w:asciiTheme="minorHAnsi" w:hAnsiTheme="minorHAnsi"/>
          <w:b w:val="0"/>
          <w:sz w:val="24"/>
        </w:rPr>
        <w:t>:</w:t>
      </w:r>
    </w:p>
    <w:bookmarkEnd w:id="3"/>
    <w:p w14:paraId="4D930272"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 xml:space="preserve">1) koszty środków służących upowszechnianiu wiedzy, o których mowa w art. 10, w odniesieniu do tych produktów; </w:t>
      </w:r>
    </w:p>
    <w:p w14:paraId="1BD19CD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 xml:space="preserve">2) koszty sprzątania odpadów pochodzących z tych produktów, a następnie koszty ich transportu i przetwarzania; oraz </w:t>
      </w:r>
    </w:p>
    <w:p w14:paraId="5379C9C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 xml:space="preserve">3) koszty wynikające z gromadzenia danych i sprawozdawczości zgodnie z art. 19 ustawy z dnia 21 marca 2012 r. </w:t>
      </w:r>
    </w:p>
    <w:p w14:paraId="023DC410" w14:textId="77777777" w:rsidR="007104F8"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W przypadku produktów jednorazowego użytku z tworzyw sztucznych wymienionych w części E sekcja III załącznika producenci produktów pokrywają ponadto koszty zbierania odpadów w przypadku tych produktów, które są pozostawiane w publicznych systemach zbierania odpadów, w tym koszty infrastruktury i jej funkcjonowania, a następnie koszty transportu tych odpadów i ich przetwarzania. Koszty te obejmują utworzenie specjalnej infrastruktury do zbierania odpadów w przypadku tych produktów, na przykład odpowiednich pojemników na odpady w miejscach częstego zaśmiecania.</w:t>
      </w:r>
    </w:p>
    <w:p w14:paraId="16975037" w14:textId="49F09D7C"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(4) Producenci produktów jednorazowego użytku z tworzyw sztucznych wymienionych w części E sekcja III podejmują konieczne środki w celu zapobiegania pozostawianiu, wyrzucaniu i niekontrolowanemu gospodarowaniu tymi produktami jako odpadami.</w:t>
      </w:r>
    </w:p>
    <w:p w14:paraId="45ECFC83"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Od dnia 1 stycznia 2024 r. należy co roku uzyskać zmniejszenie o co najmniej 10 % liczby sztuk wprowadzonych do obrotu w stosunku do poprzedniego roku. Właściwy organ opracowuje i publikuje metody kwantyfikacji wyrzucanych ilości i weryfikacji ich zmniejszenia.</w:t>
      </w:r>
    </w:p>
    <w:p w14:paraId="2FA016B7"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(5) Pokrywane koszty wymienione w ust. 2 i 3 nie przekraczają kosztów niezbędnych do gospodarnego świadczenia wskazanych w tych przepisach usług i są one ustalane z zachowaniem przejrzystości między zainteresowanymi podmiotami. Koszty sprzątania odpadów są ograniczone do czynności podejmowanych przez organy publiczne lub w ich imieniu. Metoda ich obliczania musi być ustalona w taki sposób, aby koszty sprzątania odpadów mogły być ustalane w proporcjonalny sposób. Z myślą o minimalizacji kosztów administracyjnych mogą zostać ustalone wkłady finansowe na rzecz kosztów sprzątania odpadów poprzez ustanowienie odpowiednich, wieloletnich kwot zryczałtowanych. </w:t>
      </w:r>
    </w:p>
    <w:p w14:paraId="2B943E40"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(6) Producenci produktów posiadający siedzibę w innym państwie członkowskim Unii Europejskiej wprowadzający produkty na rynek luksemburski mogą wyznaczyć osobę fizyczną lub prawną posiadającą siedzibę na terytorium kraju lub w innym państwie członkowskim jako upoważnionego przedstawiciela do celów wypełniania obowiązków producenta w zakresie systemów rozszerzonej odpowiedzialności producenta. </w:t>
      </w:r>
    </w:p>
    <w:p w14:paraId="7124F9E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lastRenderedPageBreak/>
        <w:t>(7) Każdy producent posiadający siedzibę w Wielkim Księstwie Luksemburga, który sprzedaje produkty jednorazowego użytku z tworzyw sztucznych wymienione w części E załącznika oraz narzędzia połowowe zawierające tworzywa sztuczne w innym państwie członkowskim Unii Europejskiej, w którym nie posiada on siedziby, wyznacza upoważnionego przedstawiciela w takim innym państwie członkowskim Unii Europejskiej. Upoważniony przedstawiciel jest osobą odpowiedzialną za wypełnienie obowiązków tego producenta, zgodnie z niniejszą ustawą, na terytorium takiego innego państwa członkowskiego.</w:t>
      </w:r>
    </w:p>
    <w:p w14:paraId="32953A1D"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(8) W przypadku systemów rozszerzonej odpowiedzialności producenta w odniesieniu do narzędzi połowowych zawierających tworzywa sztuczne producenci narzędzi połowowych zawierających tworzywa sztuczne pokrywają koszty selektywnej zbiórki zawierających tworzywa sztuczne narzędzi połowowych stanowiących odpady, które zostały dostarczone do odpowiednich urządzeń do odbioru odpadów, a także koszty ich transportu i przetwarzania.  </w:t>
      </w:r>
    </w:p>
    <w:p w14:paraId="21E340C8"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Producenci pokrywają również koszty środków służących upowszechnianiu wiedzy, o których mowa w art. 10, w odniesieniu do narzędzi połowowych zawierających tworzywa sztuczne. </w:t>
      </w:r>
    </w:p>
    <w:p w14:paraId="2638EEC2"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t>Artykuł 9. Selektywna zbiórka</w:t>
      </w:r>
    </w:p>
    <w:p w14:paraId="712C417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Ilość odpadów produktów jednorazowego użytku z tworzyw sztucznych wymienionych w części F załącznika poddawanych selektywnej zbiórce w celu recyklingu musi odpowiadać: </w:t>
      </w:r>
    </w:p>
    <w:p w14:paraId="49D987BE"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a) do 2025 r.</w:t>
      </w:r>
      <w:bookmarkStart w:id="4" w:name="_Hlk25246527"/>
      <w:r>
        <w:rPr>
          <w:rFonts w:asciiTheme="minorHAnsi" w:hAnsiTheme="minorHAnsi"/>
          <w:b w:val="0"/>
          <w:sz w:val="24"/>
        </w:rPr>
        <w:t xml:space="preserve"> 77 % masy całkowitej ilości odpadów z tych produktów powstałych w danym roku, łącznie z odpadami pozostawionymi w miejscach do tego nieprzeznaczonych</w:t>
      </w:r>
      <w:bookmarkEnd w:id="4"/>
      <w:r>
        <w:rPr>
          <w:rFonts w:asciiTheme="minorHAnsi" w:hAnsiTheme="minorHAnsi"/>
          <w:b w:val="0"/>
          <w:sz w:val="24"/>
        </w:rPr>
        <w:t xml:space="preserve">; </w:t>
      </w:r>
    </w:p>
    <w:p w14:paraId="39395F5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b) do 2029 r. 90 % masy całkowitej ilości odpadów z tych produktów powstałych w danym roku, łącznie z odpadami pozostawionymi w miejscach do tego nieprzeznaczonych.</w:t>
      </w:r>
    </w:p>
    <w:p w14:paraId="690C365E"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t>Artykuł 10. Środki służące upowszechnianiu wiedzy</w:t>
      </w:r>
    </w:p>
    <w:p w14:paraId="148EAE36"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Urząd ds. Środowiska i Urząd ds. Gospodarki Wodnej dbają, każdy w zakresie swoich właściwości, o informowanie konsumentów i zachęcanie do odpowiedzialnych zachowań konsumpcyjnych, aby zmniejszyć zaśmiecenie pochodzące z produktów objętych niniejszą ustawą, oraz podejmują środki w celu informowania konsumentów produktów jednorazowego użytku z tworzyw sztucznych, które to produkty wymieniono w części G załącznika, i użytkowników narzędzi połowowych zawierających tworzywa sztuczne na temat następujących kwestii: </w:t>
      </w:r>
    </w:p>
    <w:p w14:paraId="40BDFCF9"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 xml:space="preserve">1. dostępności alternatywnych produktów wielokrotnego użytku, systemów ponownego użycia i metod gospodarowania odpadami w przypadku tych produktów jednorazowego użytku z tworzyw sztucznych i narzędzi połowowych zawierających tworzywa sztuczne oraz na temat najlepszych praktyk w zakresie należytego gospodarowania odpadami prowadzonego zgodnie z art. 10 ustawy z dnia 21 marca 2012 r.; </w:t>
      </w:r>
    </w:p>
    <w:p w14:paraId="539EAE8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 xml:space="preserve">2. wpływu na środowisko, w szczególności środowisko morskie, zaśmiecania i innego nieodpowiedniego unieszkodliwiania odpadów w przypadku tych produktów </w:t>
      </w:r>
      <w:r>
        <w:rPr>
          <w:rFonts w:asciiTheme="minorHAnsi" w:hAnsiTheme="minorHAnsi"/>
          <w:b w:val="0"/>
          <w:sz w:val="24"/>
        </w:rPr>
        <w:lastRenderedPageBreak/>
        <w:t>jednorazowego użytku z tworzyw sztucznych i narzędzi połowowych zawierających tworzywa sztuczne; oraz</w:t>
      </w:r>
    </w:p>
    <w:p w14:paraId="099960BC"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3. wpływu na sieci kanalizacyjne nieodpowiednich sposobów unieszkodliwiania odpadów w przypadku produktów jednorazowego użytku z tworzyw sztucznych.</w:t>
      </w:r>
    </w:p>
    <w:p w14:paraId="5C20C5EA"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705595FF"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rPr>
        <w:t>Artykuł 11. Koordynacja środków</w:t>
      </w:r>
    </w:p>
    <w:p w14:paraId="1E68385F" w14:textId="77777777" w:rsidR="007104F8" w:rsidRPr="008E1574" w:rsidRDefault="007104F8" w:rsidP="00206537">
      <w:pPr>
        <w:keepNext/>
        <w:keepLines/>
        <w:autoSpaceDE w:val="0"/>
        <w:autoSpaceDN w:val="0"/>
        <w:adjustRightInd w:val="0"/>
        <w:spacing w:after="0" w:line="240" w:lineRule="auto"/>
        <w:jc w:val="both"/>
        <w:rPr>
          <w:rFonts w:eastAsia="Calibri" w:cs="TimesNewRoman"/>
          <w:sz w:val="24"/>
          <w:szCs w:val="24"/>
          <w:lang w:val="fr-LU" w:eastAsia="fr-BE"/>
        </w:rPr>
      </w:pPr>
    </w:p>
    <w:p w14:paraId="1F475B2C"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rPr>
        <w:t>Bez uszczerbku dla przepisów art. 4 ust. 1 akapit pierwszy środki podejmowane w ramach niniejszej ustawy stanowią integralną część programów działania ustanawianych zgodnie ze zmienioną ustawą z dnia 19 grudnia 2008 r. o wodzie, planach gospodarowania odpadami i programach zapobiegania powstawaniu odpadów opracowywanych zgodnie z ustawą z dnia 21 marca 2012 r. i muszą być z nimi spójne.</w:t>
      </w:r>
    </w:p>
    <w:p w14:paraId="0F81657A"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721EBF87"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rPr>
        <w:t xml:space="preserve">Środki podejmowane zgodnie z art. 4–9 muszą być zgodne z przepisami dotyczącymi żywności, co ma na celu zapewnienie, by higiena żywności i bezpieczeństwo żywności nie były zagrożone.  </w:t>
      </w:r>
    </w:p>
    <w:p w14:paraId="20A67F74"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2E743DB6"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rPr>
        <w:t>Urząd ds. Środowiska i Dyrekcja ds. Zdrowia zachęcają, każdy w zakresie swoich właściwości, do stosowania zrównoważonych produktów alternatywnych dla produktów jednorazowego użytku z tworzyw sztucznych mających kontakt z żywnością.</w:t>
      </w:r>
    </w:p>
    <w:p w14:paraId="3C704E47" w14:textId="77777777" w:rsidR="007104F8" w:rsidRPr="008E1574" w:rsidRDefault="007104F8" w:rsidP="007104F8">
      <w:pPr>
        <w:autoSpaceDE w:val="0"/>
        <w:autoSpaceDN w:val="0"/>
        <w:adjustRightInd w:val="0"/>
        <w:spacing w:after="0" w:line="240" w:lineRule="auto"/>
        <w:jc w:val="both"/>
        <w:rPr>
          <w:rFonts w:eastAsia="Calibri" w:cs="TimesNewRoman"/>
          <w:b/>
          <w:sz w:val="24"/>
          <w:szCs w:val="24"/>
          <w:lang w:val="fr-LU" w:eastAsia="fr-BE"/>
        </w:rPr>
      </w:pPr>
    </w:p>
    <w:p w14:paraId="3B77C77F"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rPr>
        <w:t>Artykuł 12. Specyfikacje i wytyczne dotyczące produktów jednorazowego użytku z tworzyw sztucznych</w:t>
      </w:r>
    </w:p>
    <w:p w14:paraId="7D2D1479"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45774EC8"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rPr>
        <w:t>Dokonując oceny, czy do celów niniejszej ustawy pojemnik na żywność należy uznać za produkt jednorazowego użytku z tworzyw sztucznych, obok wymienionych w załączniku kryteriów dotyczących pojemników na żywność, decydującą rolę odgrywa to, czy istnieje tendencja do pozostawiania go w miejscach do tego nieprzeznaczonych – z uwagi na jego pojemność lub rozmiar, w szczególności w przypadku pojemników zawierających pojedyncze porcje żywności.</w:t>
      </w:r>
    </w:p>
    <w:p w14:paraId="0D162CFF"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26C8DA0D"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rPr>
      </w:pPr>
      <w:r>
        <w:rPr>
          <w:b/>
          <w:sz w:val="24"/>
        </w:rPr>
        <w:t>Artykuł 13. Środki administracyjne</w:t>
      </w:r>
    </w:p>
    <w:p w14:paraId="0261ED08"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01CF0A40" w14:textId="77777777" w:rsidR="007104F8" w:rsidRDefault="007104F8" w:rsidP="00206537">
      <w:pPr>
        <w:keepNext/>
        <w:keepLines/>
        <w:autoSpaceDE w:val="0"/>
        <w:autoSpaceDN w:val="0"/>
        <w:adjustRightInd w:val="0"/>
        <w:spacing w:after="0" w:line="240" w:lineRule="auto"/>
        <w:jc w:val="both"/>
        <w:rPr>
          <w:rFonts w:cs="TimesNewRoman"/>
          <w:sz w:val="24"/>
          <w:szCs w:val="24"/>
        </w:rPr>
      </w:pPr>
      <w:r>
        <w:rPr>
          <w:sz w:val="24"/>
        </w:rPr>
        <w:t xml:space="preserve">(1) W przypadku nieprzestrzegania przepisów art. 5, art. 6 ust. 1 i 2, pkt 1 i 2, art. 7 i art. 9 minister może: </w:t>
      </w:r>
    </w:p>
    <w:p w14:paraId="7EC8F185"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rPr>
        <w:t xml:space="preserve">wyznaczyć producentowi lub zatwierdzonemu podmiotowi termin dostosowania się do tych przepisów, który to termin nie może być dłuższy niż dwa lata; </w:t>
      </w:r>
    </w:p>
    <w:p w14:paraId="7DE67BF6"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rPr>
        <w:t>nakazać zawieszenie w całości lub części działalności producenta lub eksploatacji zakładu poprzez zastosowanie środka tymczasowego lub nakazać zamknięcie zakładu w całości lub w części i nałożenie plomb.</w:t>
      </w:r>
    </w:p>
    <w:p w14:paraId="0E2E8049" w14:textId="4DB8906F" w:rsidR="007104F8" w:rsidRPr="008E1574" w:rsidRDefault="007104F8" w:rsidP="007104F8">
      <w:pPr>
        <w:autoSpaceDE w:val="0"/>
        <w:autoSpaceDN w:val="0"/>
        <w:adjustRightInd w:val="0"/>
        <w:spacing w:after="0" w:line="240" w:lineRule="auto"/>
        <w:jc w:val="both"/>
        <w:rPr>
          <w:rFonts w:cs="TimesNewRoman"/>
          <w:sz w:val="24"/>
          <w:szCs w:val="24"/>
        </w:rPr>
      </w:pPr>
      <w:r>
        <w:rPr>
          <w:sz w:val="24"/>
        </w:rPr>
        <w:t xml:space="preserve">(2) Każda zainteresowana strona może wnioskować o zastosowanie środków wymienionych w ust. 1. </w:t>
      </w:r>
    </w:p>
    <w:p w14:paraId="28FC23FF"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rPr>
        <w:lastRenderedPageBreak/>
        <w:t xml:space="preserve">(3) Środki wymienione w ust. 1 uchyla się, gdy producent lub zatwierdzony podmiot dostosuje się do przepisów. </w:t>
      </w:r>
    </w:p>
    <w:p w14:paraId="6BFDBF4E"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00A11318" w14:textId="77777777" w:rsidR="007104F8" w:rsidRPr="008E1574" w:rsidRDefault="007104F8" w:rsidP="00206537">
      <w:pPr>
        <w:pStyle w:val="Article"/>
        <w:keepNext/>
        <w:keepLines/>
        <w:numPr>
          <w:ilvl w:val="0"/>
          <w:numId w:val="0"/>
        </w:numPr>
        <w:spacing w:before="240"/>
        <w:rPr>
          <w:rFonts w:asciiTheme="minorHAnsi" w:hAnsiTheme="minorHAnsi"/>
          <w:sz w:val="24"/>
          <w:szCs w:val="24"/>
        </w:rPr>
      </w:pPr>
      <w:r>
        <w:rPr>
          <w:rFonts w:asciiTheme="minorHAnsi" w:hAnsiTheme="minorHAnsi"/>
          <w:sz w:val="24"/>
        </w:rPr>
        <w:t>Artykuł 14. Przepisy specjalne</w:t>
      </w:r>
    </w:p>
    <w:p w14:paraId="3E6627A8" w14:textId="77777777" w:rsidR="007104F8" w:rsidRPr="008E1574" w:rsidRDefault="007104F8" w:rsidP="00206537">
      <w:pPr>
        <w:pStyle w:val="NormalWeb"/>
        <w:keepNext/>
        <w:keepLines/>
        <w:jc w:val="both"/>
        <w:rPr>
          <w:rFonts w:asciiTheme="minorHAnsi" w:eastAsia="Calibri" w:hAnsiTheme="minorHAnsi" w:cs="TimesLTStd-Roman"/>
        </w:rPr>
      </w:pPr>
      <w:r>
        <w:rPr>
          <w:rFonts w:asciiTheme="minorHAnsi" w:hAnsiTheme="minorHAnsi"/>
        </w:rPr>
        <w:t>Zastosowanie mają następujące przepisy ustawy z dnia 21 marca 2012 r.:</w:t>
      </w:r>
    </w:p>
    <w:p w14:paraId="700C2AC0"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1. art. 44, 45 i 46 dotyczące badania i stwierdzania naruszeń, uprawnień i prerogatyw w zakresie kontroli; oraz</w:t>
      </w:r>
    </w:p>
    <w:p w14:paraId="1DD10170" w14:textId="77777777" w:rsidR="007104F8" w:rsidRDefault="007104F8" w:rsidP="007104F8">
      <w:pPr>
        <w:pStyle w:val="NormalWeb"/>
        <w:spacing w:before="240"/>
        <w:jc w:val="both"/>
        <w:rPr>
          <w:rFonts w:asciiTheme="minorHAnsi" w:eastAsia="Calibri" w:hAnsiTheme="minorHAnsi" w:cs="TimesLTStd-Roman"/>
        </w:rPr>
      </w:pPr>
      <w:r>
        <w:rPr>
          <w:rFonts w:asciiTheme="minorHAnsi" w:hAnsiTheme="minorHAnsi"/>
        </w:rPr>
        <w:t>2. art. 50 ust. 2 dotyczący prawa zatwierdzonych organizacji ekologicznych do podejmowania działań prawnych.</w:t>
      </w:r>
    </w:p>
    <w:p w14:paraId="7630D890" w14:textId="77777777" w:rsidR="007104F8" w:rsidRPr="00AA6AE8" w:rsidRDefault="007104F8" w:rsidP="00206537">
      <w:pPr>
        <w:pStyle w:val="NormalWeb"/>
        <w:keepNext/>
        <w:keepLines/>
        <w:jc w:val="both"/>
        <w:rPr>
          <w:rFonts w:asciiTheme="minorHAnsi" w:eastAsia="Calibri" w:hAnsiTheme="minorHAnsi" w:cs="TimesLTStd-Roman"/>
          <w:b/>
        </w:rPr>
      </w:pPr>
      <w:r>
        <w:rPr>
          <w:rFonts w:asciiTheme="minorHAnsi" w:hAnsiTheme="minorHAnsi"/>
          <w:b/>
        </w:rPr>
        <w:t>Artykuł 15. Załącznik</w:t>
      </w:r>
    </w:p>
    <w:p w14:paraId="4AF0F2F7"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Zmiany w załączniku mające na celu dostosowanie go do rozwoju prawodawstwa Unii Europejskiej w przedmiotowej dziedzinie można wprowadzać rozporządzeniem wielkoksiążęcym.</w:t>
      </w:r>
    </w:p>
    <w:p w14:paraId="18A5C1E1"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rPr>
        <w:t>Artykuł 16. Sankcje</w:t>
      </w:r>
    </w:p>
    <w:p w14:paraId="2A0B878B"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175B98D2" w14:textId="77777777" w:rsidR="007104F8" w:rsidRDefault="007104F8" w:rsidP="007104F8">
      <w:pPr>
        <w:autoSpaceDE w:val="0"/>
        <w:autoSpaceDN w:val="0"/>
        <w:adjustRightInd w:val="0"/>
        <w:spacing w:after="0" w:line="240" w:lineRule="auto"/>
        <w:jc w:val="both"/>
        <w:rPr>
          <w:rFonts w:cs="TimesNewRoman"/>
          <w:sz w:val="24"/>
          <w:szCs w:val="24"/>
        </w:rPr>
      </w:pPr>
      <w:r>
        <w:rPr>
          <w:sz w:val="24"/>
        </w:rPr>
        <w:t>Naruszenia przepisów art. 5, art. 6 ust. 1 akapit pierwszy i ust. 2, pkt 1 i 2, art. 7 ust. 1, art. 8 ust. 4 i art. 9 podlegają karze pozbawienia wolności od 8 dni do 3 lat i grzywnie w wysokości od 251 EUR do 750 000 EUR lub tylko jednej z tych kar.</w:t>
      </w:r>
    </w:p>
    <w:p w14:paraId="3002620B" w14:textId="77777777" w:rsidR="007104F8" w:rsidRDefault="007104F8" w:rsidP="007104F8">
      <w:pPr>
        <w:autoSpaceDE w:val="0"/>
        <w:autoSpaceDN w:val="0"/>
        <w:adjustRightInd w:val="0"/>
        <w:spacing w:after="0" w:line="240" w:lineRule="auto"/>
        <w:jc w:val="both"/>
        <w:rPr>
          <w:rFonts w:cs="TimesNewRoman"/>
          <w:sz w:val="24"/>
          <w:szCs w:val="24"/>
        </w:rPr>
      </w:pPr>
      <w:r>
        <w:rPr>
          <w:sz w:val="24"/>
        </w:rPr>
        <w:t xml:space="preserve">Takie same sankcje mają zastosowanie w przypadku utrudniania lub nieprzestrzegania środków administracyjnych podejmowanych na podstawie art. 13. </w:t>
      </w:r>
    </w:p>
    <w:p w14:paraId="66780AD9" w14:textId="77777777" w:rsidR="007104F8" w:rsidRDefault="007104F8" w:rsidP="007104F8">
      <w:pPr>
        <w:autoSpaceDE w:val="0"/>
        <w:autoSpaceDN w:val="0"/>
        <w:adjustRightInd w:val="0"/>
        <w:spacing w:after="0" w:line="240" w:lineRule="auto"/>
        <w:jc w:val="both"/>
        <w:rPr>
          <w:rFonts w:cs="TimesNewRoman"/>
          <w:sz w:val="24"/>
          <w:szCs w:val="24"/>
          <w:lang w:val="fr-LU" w:eastAsia="fr-BE"/>
        </w:rPr>
      </w:pPr>
    </w:p>
    <w:p w14:paraId="26451248" w14:textId="77777777" w:rsidR="007104F8" w:rsidRPr="009D4A2A" w:rsidRDefault="007104F8" w:rsidP="00206537">
      <w:pPr>
        <w:keepNext/>
        <w:keepLines/>
        <w:autoSpaceDE w:val="0"/>
        <w:autoSpaceDN w:val="0"/>
        <w:adjustRightInd w:val="0"/>
        <w:spacing w:after="0" w:line="240" w:lineRule="auto"/>
        <w:jc w:val="both"/>
        <w:rPr>
          <w:rFonts w:cs="TimesNewRoman"/>
          <w:b/>
          <w:sz w:val="24"/>
          <w:szCs w:val="24"/>
        </w:rPr>
      </w:pPr>
      <w:r>
        <w:rPr>
          <w:b/>
          <w:sz w:val="24"/>
        </w:rPr>
        <w:t>Artykuł 17. Kary administracyjne</w:t>
      </w:r>
    </w:p>
    <w:p w14:paraId="42DB19C4" w14:textId="77777777" w:rsidR="007104F8" w:rsidRPr="00D10D84" w:rsidRDefault="007104F8" w:rsidP="00206537">
      <w:pPr>
        <w:keepNext/>
        <w:keepLines/>
        <w:autoSpaceDE w:val="0"/>
        <w:autoSpaceDN w:val="0"/>
        <w:adjustRightInd w:val="0"/>
        <w:spacing w:after="0" w:line="240" w:lineRule="auto"/>
        <w:jc w:val="both"/>
        <w:rPr>
          <w:rFonts w:ascii="Times New Roman" w:hAnsi="Times New Roman" w:cs="Times New Roman"/>
          <w:b/>
          <w:bCs/>
          <w:sz w:val="28"/>
          <w:szCs w:val="28"/>
          <w:lang w:val="fr-LU" w:eastAsia="fr-BE"/>
        </w:rPr>
      </w:pPr>
    </w:p>
    <w:p w14:paraId="6A784439" w14:textId="77777777" w:rsidR="007104F8" w:rsidRPr="00C25B06" w:rsidRDefault="007104F8" w:rsidP="007104F8">
      <w:pPr>
        <w:autoSpaceDE w:val="0"/>
        <w:autoSpaceDN w:val="0"/>
        <w:adjustRightInd w:val="0"/>
        <w:spacing w:after="0"/>
        <w:rPr>
          <w:rFonts w:cs="TimesNewRoman"/>
          <w:sz w:val="24"/>
          <w:szCs w:val="24"/>
        </w:rPr>
      </w:pPr>
      <w:r>
        <w:rPr>
          <w:sz w:val="24"/>
        </w:rPr>
        <w:t>W przypadku naruszenia przepisów art. 4 ust. 4 i art. 6 ust. 2 akapit drugi minister może nałożyć karę administracyjną w wysokości od 250 EUR do 10 000 EUR.</w:t>
      </w:r>
    </w:p>
    <w:p w14:paraId="22DE3E9D" w14:textId="77777777" w:rsidR="007104F8" w:rsidRPr="00C25B06" w:rsidRDefault="007104F8" w:rsidP="007104F8">
      <w:pPr>
        <w:autoSpaceDE w:val="0"/>
        <w:autoSpaceDN w:val="0"/>
        <w:adjustRightInd w:val="0"/>
        <w:spacing w:after="0"/>
        <w:rPr>
          <w:rFonts w:cs="TimesNewRoman"/>
          <w:sz w:val="24"/>
          <w:szCs w:val="24"/>
          <w:lang w:val="fr-LU" w:eastAsia="fr-BE"/>
        </w:rPr>
      </w:pPr>
    </w:p>
    <w:p w14:paraId="4314C2D5" w14:textId="77777777" w:rsidR="007104F8" w:rsidRPr="00C25B06" w:rsidRDefault="007104F8" w:rsidP="007104F8">
      <w:pPr>
        <w:autoSpaceDE w:val="0"/>
        <w:autoSpaceDN w:val="0"/>
        <w:adjustRightInd w:val="0"/>
        <w:spacing w:after="0"/>
        <w:rPr>
          <w:rFonts w:cs="TimesNewRoman"/>
          <w:sz w:val="24"/>
          <w:szCs w:val="24"/>
        </w:rPr>
      </w:pPr>
      <w:r>
        <w:rPr>
          <w:sz w:val="24"/>
        </w:rPr>
        <w:t xml:space="preserve">Termin zapłaty kary wynosi dwa miesiące od daty pisemnego powiadomienia o decyzji. </w:t>
      </w:r>
    </w:p>
    <w:p w14:paraId="0E834F42" w14:textId="77777777" w:rsidR="007104F8" w:rsidRDefault="007104F8" w:rsidP="007104F8">
      <w:pPr>
        <w:autoSpaceDE w:val="0"/>
        <w:autoSpaceDN w:val="0"/>
        <w:adjustRightInd w:val="0"/>
        <w:spacing w:after="0"/>
        <w:rPr>
          <w:rFonts w:cs="TimesNewRoman"/>
          <w:sz w:val="24"/>
          <w:szCs w:val="24"/>
          <w:lang w:val="fr-LU" w:eastAsia="fr-BE"/>
        </w:rPr>
      </w:pPr>
    </w:p>
    <w:p w14:paraId="5E843D57" w14:textId="77777777" w:rsidR="007104F8" w:rsidRDefault="007104F8" w:rsidP="007104F8">
      <w:pPr>
        <w:autoSpaceDE w:val="0"/>
        <w:autoSpaceDN w:val="0"/>
        <w:adjustRightInd w:val="0"/>
        <w:spacing w:after="0" w:line="240" w:lineRule="auto"/>
        <w:jc w:val="both"/>
        <w:rPr>
          <w:rFonts w:ascii="Times New Roman" w:hAnsi="Times New Roman" w:cs="Times New Roman"/>
          <w:b/>
          <w:bCs/>
          <w:sz w:val="28"/>
          <w:szCs w:val="28"/>
        </w:rPr>
      </w:pPr>
      <w:r>
        <w:rPr>
          <w:sz w:val="24"/>
        </w:rPr>
        <w:t>Kary administracyjne pobiera Urząd ds. Opłat Rejestracyjnych, Nieruchomości Gruntowych i VAT. Odzyskiwanie należności odbywa się jak w przypadku opłat rejestracyjnych.</w:t>
      </w:r>
    </w:p>
    <w:p w14:paraId="12320C73" w14:textId="77777777" w:rsidR="007104F8" w:rsidRPr="001D179B" w:rsidRDefault="007104F8" w:rsidP="007104F8">
      <w:pPr>
        <w:autoSpaceDE w:val="0"/>
        <w:autoSpaceDN w:val="0"/>
        <w:adjustRightInd w:val="0"/>
        <w:spacing w:after="0" w:line="240" w:lineRule="auto"/>
        <w:jc w:val="both"/>
        <w:rPr>
          <w:rFonts w:ascii="Times New Roman" w:hAnsi="Times New Roman" w:cs="Times New Roman"/>
          <w:b/>
          <w:bCs/>
          <w:sz w:val="28"/>
          <w:szCs w:val="28"/>
          <w:lang w:val="fr-LU" w:eastAsia="fr-BE"/>
        </w:rPr>
      </w:pPr>
    </w:p>
    <w:p w14:paraId="25144316"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rPr>
        <w:t>Artykuł 18. Środki odwoławcze</w:t>
      </w:r>
    </w:p>
    <w:p w14:paraId="155E7C62" w14:textId="77777777" w:rsidR="007104F8" w:rsidRDefault="007104F8" w:rsidP="00206537">
      <w:pPr>
        <w:keepNext/>
        <w:keepLines/>
        <w:autoSpaceDE w:val="0"/>
        <w:autoSpaceDN w:val="0"/>
        <w:adjustRightInd w:val="0"/>
        <w:spacing w:after="0" w:line="240" w:lineRule="auto"/>
        <w:jc w:val="both"/>
        <w:rPr>
          <w:rFonts w:cs="TimesNewRoman"/>
          <w:sz w:val="24"/>
          <w:szCs w:val="24"/>
          <w:lang w:val="fr-FR" w:eastAsia="fr-BE"/>
        </w:rPr>
      </w:pPr>
    </w:p>
    <w:p w14:paraId="64D689D3"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rPr>
        <w:t xml:space="preserve">Od decyzji podejmowanych na podstawie niniejszej ustawy można odwoływać się przed sądem administracyjnym. Odwołanie należy wnieść, pod rygorem wygaśnięcia, w terminie czterdziestu dni od dnia powiadomienia o decyzji, której dotyczy odwołanie. </w:t>
      </w:r>
    </w:p>
    <w:p w14:paraId="157255C5"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5E51328B"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rPr>
        <w:lastRenderedPageBreak/>
        <w:t>Artykuł 19. Wejście w życie</w:t>
      </w:r>
    </w:p>
    <w:p w14:paraId="6C0CDF60"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44E260C2" w14:textId="77777777" w:rsidR="007104F8" w:rsidRPr="009D4A2A" w:rsidRDefault="007104F8" w:rsidP="007104F8">
      <w:pPr>
        <w:autoSpaceDE w:val="0"/>
        <w:autoSpaceDN w:val="0"/>
        <w:adjustRightInd w:val="0"/>
        <w:spacing w:after="0" w:line="240" w:lineRule="auto"/>
        <w:jc w:val="both"/>
        <w:rPr>
          <w:rFonts w:cs="TimesNewRoman"/>
          <w:sz w:val="24"/>
          <w:szCs w:val="24"/>
        </w:rPr>
      </w:pPr>
      <w:r>
        <w:rPr>
          <w:sz w:val="24"/>
        </w:rPr>
        <w:t>Niniejsza ustawa wchodzi w życie w dniu 3 lipca 2021 r.</w:t>
      </w:r>
    </w:p>
    <w:p w14:paraId="3BA6C81F" w14:textId="77777777" w:rsidR="007104F8" w:rsidRPr="009D4A2A" w:rsidRDefault="007104F8" w:rsidP="007104F8">
      <w:pPr>
        <w:autoSpaceDE w:val="0"/>
        <w:autoSpaceDN w:val="0"/>
        <w:adjustRightInd w:val="0"/>
        <w:spacing w:after="0" w:line="240" w:lineRule="auto"/>
        <w:jc w:val="both"/>
        <w:rPr>
          <w:rFonts w:cs="TimesNewRoman"/>
          <w:sz w:val="24"/>
          <w:szCs w:val="24"/>
          <w:lang w:val="fr-LU" w:eastAsia="fr-BE"/>
        </w:rPr>
      </w:pPr>
    </w:p>
    <w:p w14:paraId="08581858" w14:textId="77777777" w:rsidR="007104F8" w:rsidRPr="009D4A2A" w:rsidRDefault="007104F8" w:rsidP="007104F8">
      <w:pPr>
        <w:autoSpaceDE w:val="0"/>
        <w:autoSpaceDN w:val="0"/>
        <w:adjustRightInd w:val="0"/>
        <w:spacing w:after="0" w:line="240" w:lineRule="auto"/>
        <w:jc w:val="both"/>
        <w:rPr>
          <w:rFonts w:cs="TimesNewRoman"/>
          <w:sz w:val="24"/>
          <w:szCs w:val="24"/>
        </w:rPr>
      </w:pPr>
      <w:r>
        <w:rPr>
          <w:sz w:val="24"/>
        </w:rPr>
        <w:t>Natomiast przepisy art. 6 ust. 1 wchodzą w życie dopiero w dniu 3 lipca 2024 r., a przepisy art. 8 wchodzą w życie w dniu 31 grudnia 2026 r., z wyjątkiem produktów jednorazowego użytku z tworzyw sztucznych wymienionych w części E sekcja III załącznika, w odniesieniu do których wchodzą one w życie w dniu 5 stycznia 2023 r.</w:t>
      </w:r>
    </w:p>
    <w:p w14:paraId="36AA9B98"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A1FF5D4"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726972A"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2E81F53C"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AA9C381" w14:textId="77777777" w:rsidR="007104F8" w:rsidRPr="006227D4" w:rsidRDefault="007104F8" w:rsidP="00206537">
      <w:pPr>
        <w:keepNext/>
        <w:keepLines/>
        <w:autoSpaceDE w:val="0"/>
        <w:autoSpaceDN w:val="0"/>
        <w:adjustRightInd w:val="0"/>
        <w:spacing w:after="0" w:line="240" w:lineRule="auto"/>
        <w:jc w:val="center"/>
        <w:rPr>
          <w:rFonts w:cs="TimesNewRoman"/>
          <w:b/>
          <w:sz w:val="24"/>
          <w:szCs w:val="24"/>
        </w:rPr>
      </w:pPr>
      <w:r>
        <w:rPr>
          <w:b/>
          <w:sz w:val="24"/>
        </w:rPr>
        <w:t>Załącznik</w:t>
      </w:r>
    </w:p>
    <w:p w14:paraId="6DBE1B5B" w14:textId="77777777" w:rsidR="007104F8"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312C56B0" w14:textId="77777777" w:rsidR="007104F8" w:rsidRPr="00AA6AE8" w:rsidRDefault="007104F8" w:rsidP="00206537">
      <w:pPr>
        <w:keepNext/>
        <w:keepLines/>
        <w:autoSpaceDE w:val="0"/>
        <w:autoSpaceDN w:val="0"/>
        <w:adjustRightInd w:val="0"/>
        <w:spacing w:after="0" w:line="240" w:lineRule="auto"/>
        <w:jc w:val="center"/>
        <w:rPr>
          <w:rFonts w:cs="TimesNewRoman"/>
          <w:sz w:val="24"/>
          <w:szCs w:val="24"/>
        </w:rPr>
      </w:pPr>
      <w:r>
        <w:rPr>
          <w:sz w:val="24"/>
        </w:rPr>
        <w:t>CZĘŚĆ A</w:t>
      </w:r>
    </w:p>
    <w:p w14:paraId="0D0675AF"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4BDD6296"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rPr>
        <w:t>Produkty jednorazowego użytku z tworzyw sztucznych, o których mowa w art. 4 dotyczącym zmniejszenia stosowania</w:t>
      </w:r>
    </w:p>
    <w:p w14:paraId="071BEE2F"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558D44CF"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27959AD5" w14:textId="77777777" w:rsidR="007104F8" w:rsidRDefault="007104F8" w:rsidP="007104F8">
      <w:pPr>
        <w:autoSpaceDE w:val="0"/>
        <w:autoSpaceDN w:val="0"/>
        <w:adjustRightInd w:val="0"/>
        <w:spacing w:after="0" w:line="240" w:lineRule="auto"/>
        <w:rPr>
          <w:rFonts w:cs="TimesNewRoman"/>
          <w:sz w:val="24"/>
          <w:szCs w:val="24"/>
        </w:rPr>
      </w:pPr>
      <w:r>
        <w:rPr>
          <w:sz w:val="24"/>
        </w:rPr>
        <w:t>1) kubki na napoje, w tym ich pokrywki i wieczka;</w:t>
      </w:r>
    </w:p>
    <w:p w14:paraId="3161AADB"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AE4665C"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rPr>
        <w:t>2) pojemniki na żywność, tj. pojemniki takie jak pudełka, z pokrywką lub bez, stosowane w celu umieszczania w nich żywności, która:</w:t>
      </w:r>
    </w:p>
    <w:p w14:paraId="77377FE1"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a) jest przeznaczona do bezpośredniego spożycia, na miejscu lub na wynos,</w:t>
      </w:r>
    </w:p>
    <w:p w14:paraId="2731DE3D"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b) jest zazwyczaj spożywana bezpośrednio z pojemnika, oraz</w:t>
      </w:r>
    </w:p>
    <w:p w14:paraId="3F279B9C" w14:textId="77777777" w:rsidR="007104F8" w:rsidRDefault="007104F8" w:rsidP="007104F8">
      <w:pPr>
        <w:autoSpaceDE w:val="0"/>
        <w:autoSpaceDN w:val="0"/>
        <w:adjustRightInd w:val="0"/>
        <w:spacing w:after="0" w:line="240" w:lineRule="auto"/>
        <w:ind w:left="720"/>
        <w:rPr>
          <w:rFonts w:cs="TimesNewRoman"/>
          <w:sz w:val="24"/>
          <w:szCs w:val="24"/>
        </w:rPr>
      </w:pPr>
      <w:r>
        <w:rPr>
          <w:sz w:val="24"/>
        </w:rPr>
        <w:t xml:space="preserve">c) jest gotowa do spożycia bez dalszej obróbki, takiej jak przyrządzanie, gotowanie czy podgrzewanie, </w:t>
      </w:r>
    </w:p>
    <w:p w14:paraId="6D897427" w14:textId="77777777" w:rsidR="007104F8" w:rsidRDefault="007104F8" w:rsidP="007104F8">
      <w:pPr>
        <w:autoSpaceDE w:val="0"/>
        <w:autoSpaceDN w:val="0"/>
        <w:adjustRightInd w:val="0"/>
        <w:spacing w:after="0" w:line="240" w:lineRule="auto"/>
        <w:ind w:left="720"/>
        <w:rPr>
          <w:rFonts w:cs="TimesNewRoman"/>
          <w:sz w:val="24"/>
          <w:szCs w:val="24"/>
          <w:lang w:val="fr-LU" w:eastAsia="fr-BE"/>
        </w:rPr>
      </w:pPr>
    </w:p>
    <w:p w14:paraId="4D39FD1E" w14:textId="77777777" w:rsidR="007104F8" w:rsidRDefault="007104F8" w:rsidP="007104F8">
      <w:pPr>
        <w:autoSpaceDE w:val="0"/>
        <w:autoSpaceDN w:val="0"/>
        <w:adjustRightInd w:val="0"/>
        <w:spacing w:after="0" w:line="240" w:lineRule="auto"/>
        <w:ind w:left="720"/>
        <w:rPr>
          <w:rFonts w:cs="TimesNewRoman"/>
          <w:sz w:val="24"/>
          <w:szCs w:val="24"/>
        </w:rPr>
      </w:pPr>
      <w:r>
        <w:rPr>
          <w:sz w:val="24"/>
        </w:rPr>
        <w:t>w tym pojemniki na żywność typu fast food lub na inne posiłki gotowe do bezpośredniego spożycia, z wyjątkiem pojemników na napoje, talerzy oraz paczek i owijek zawierających żywność.</w:t>
      </w:r>
    </w:p>
    <w:p w14:paraId="44B058F7"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C51D93E"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rPr>
        <w:lastRenderedPageBreak/>
        <w:t>CZĘŚĆ B</w:t>
      </w:r>
    </w:p>
    <w:p w14:paraId="2B07ED60"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6A2A4B26"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rPr>
        <w:t>Produkty jednorazowego użytku z tworzyw sztucznych, o których mowa w art. 5 dotyczącym ograniczeń w zakresie wprowadzania do obrotu</w:t>
      </w:r>
    </w:p>
    <w:p w14:paraId="7391D162"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3C1AA1F9" w14:textId="77777777" w:rsidR="007104F8" w:rsidRDefault="007104F8" w:rsidP="007104F8">
      <w:pPr>
        <w:autoSpaceDE w:val="0"/>
        <w:autoSpaceDN w:val="0"/>
        <w:adjustRightInd w:val="0"/>
        <w:spacing w:after="0" w:line="240" w:lineRule="auto"/>
        <w:rPr>
          <w:rFonts w:cs="TimesNewRoman"/>
          <w:sz w:val="24"/>
          <w:szCs w:val="24"/>
        </w:rPr>
      </w:pPr>
      <w:r>
        <w:rPr>
          <w:sz w:val="24"/>
        </w:rPr>
        <w:t>1) patyczki higieniczne, z wyjątkiem patyczków objętych zakresem stosowania dyrektywy Rady 90/385/EWG</w:t>
      </w:r>
      <w:r>
        <w:rPr>
          <w:rStyle w:val="FootnoteReference"/>
          <w:rFonts w:cs="TimesNewRoman"/>
          <w:sz w:val="24"/>
          <w:szCs w:val="24"/>
          <w:lang w:val="fr-LU" w:eastAsia="fr-BE"/>
        </w:rPr>
        <w:footnoteReference w:id="1"/>
      </w:r>
      <w:r>
        <w:rPr>
          <w:sz w:val="24"/>
        </w:rPr>
        <w:t xml:space="preserve"> lub dyrektywy Rady 93/42/EWG</w:t>
      </w:r>
      <w:r>
        <w:rPr>
          <w:rStyle w:val="FootnoteReference"/>
          <w:rFonts w:cs="TimesNewRoman"/>
          <w:sz w:val="24"/>
          <w:szCs w:val="24"/>
          <w:lang w:val="fr-LU" w:eastAsia="fr-BE"/>
        </w:rPr>
        <w:footnoteReference w:id="2"/>
      </w:r>
      <w:r>
        <w:rPr>
          <w:sz w:val="24"/>
        </w:rPr>
        <w:t>;</w:t>
      </w:r>
    </w:p>
    <w:p w14:paraId="64C4B395"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692A4B12" w14:textId="77777777" w:rsidR="007104F8" w:rsidRDefault="007104F8" w:rsidP="007104F8">
      <w:pPr>
        <w:autoSpaceDE w:val="0"/>
        <w:autoSpaceDN w:val="0"/>
        <w:adjustRightInd w:val="0"/>
        <w:spacing w:after="0" w:line="240" w:lineRule="auto"/>
        <w:rPr>
          <w:rFonts w:cs="TimesNewRoman"/>
          <w:sz w:val="24"/>
          <w:szCs w:val="24"/>
        </w:rPr>
      </w:pPr>
      <w:r>
        <w:rPr>
          <w:sz w:val="24"/>
        </w:rPr>
        <w:t>2) sztućce (widelce, noże, łyżki, pałeczki);</w:t>
      </w:r>
    </w:p>
    <w:p w14:paraId="168ED99E"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13F4158" w14:textId="77777777" w:rsidR="007104F8" w:rsidRDefault="007104F8" w:rsidP="007104F8">
      <w:pPr>
        <w:autoSpaceDE w:val="0"/>
        <w:autoSpaceDN w:val="0"/>
        <w:adjustRightInd w:val="0"/>
        <w:spacing w:after="0" w:line="240" w:lineRule="auto"/>
        <w:rPr>
          <w:rFonts w:cs="TimesNewRoman"/>
          <w:sz w:val="24"/>
          <w:szCs w:val="24"/>
        </w:rPr>
      </w:pPr>
      <w:r>
        <w:rPr>
          <w:sz w:val="24"/>
        </w:rPr>
        <w:t>3) talerze;</w:t>
      </w:r>
    </w:p>
    <w:p w14:paraId="72BA7042"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75718305" w14:textId="77777777" w:rsidR="007104F8" w:rsidRDefault="007104F8" w:rsidP="007104F8">
      <w:pPr>
        <w:autoSpaceDE w:val="0"/>
        <w:autoSpaceDN w:val="0"/>
        <w:adjustRightInd w:val="0"/>
        <w:spacing w:after="0" w:line="240" w:lineRule="auto"/>
        <w:rPr>
          <w:rFonts w:cs="TimesNewRoman"/>
          <w:sz w:val="24"/>
          <w:szCs w:val="24"/>
        </w:rPr>
      </w:pPr>
      <w:r>
        <w:rPr>
          <w:sz w:val="24"/>
        </w:rPr>
        <w:t>4) słomki, z wyjątkiem słomek objętych zakresem stosowania dyrektywy 90/385/EWG lub dyrektywy 93/42/EWG;</w:t>
      </w:r>
    </w:p>
    <w:p w14:paraId="1EBC438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777CE30" w14:textId="77777777" w:rsidR="007104F8" w:rsidRDefault="007104F8" w:rsidP="007104F8">
      <w:pPr>
        <w:autoSpaceDE w:val="0"/>
        <w:autoSpaceDN w:val="0"/>
        <w:adjustRightInd w:val="0"/>
        <w:spacing w:after="0" w:line="240" w:lineRule="auto"/>
        <w:rPr>
          <w:rFonts w:cs="TimesNewRoman"/>
          <w:sz w:val="24"/>
          <w:szCs w:val="24"/>
        </w:rPr>
      </w:pPr>
      <w:r>
        <w:rPr>
          <w:sz w:val="24"/>
        </w:rPr>
        <w:t>5) mieszadełka do napojów;</w:t>
      </w:r>
    </w:p>
    <w:p w14:paraId="0A2DE51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1DBACBDF" w14:textId="77777777" w:rsidR="007104F8" w:rsidRDefault="007104F8" w:rsidP="007104F8">
      <w:pPr>
        <w:autoSpaceDE w:val="0"/>
        <w:autoSpaceDN w:val="0"/>
        <w:adjustRightInd w:val="0"/>
        <w:spacing w:after="0" w:line="240" w:lineRule="auto"/>
        <w:rPr>
          <w:rFonts w:cs="TimesNewRoman"/>
          <w:sz w:val="24"/>
          <w:szCs w:val="24"/>
        </w:rPr>
      </w:pPr>
      <w:r>
        <w:rPr>
          <w:sz w:val="24"/>
        </w:rPr>
        <w:t>6) patyczki mocowane do balonów i służące do tego, by balony się na nich opierały, w tym mechanizmy tych patyczków, z wyjątkiem balonów do użytku przemysłowego lub innych profesjonalnych zastosowań, które to balony nie są rozprowadzane wśród konsumentów;</w:t>
      </w:r>
    </w:p>
    <w:p w14:paraId="222BF10C"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0ACB1455"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rPr>
        <w:t>7) pojemniki na żywność wykonane z polistyrenu ekspandowanego, tj. pojemniki takie jak pudełka, z pokrywką lub bez, stosowane w celu umieszczania w nich żywności, która:</w:t>
      </w:r>
    </w:p>
    <w:p w14:paraId="2BD7B27C"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a) jest przeznaczona do bezpośredniego spożycia, na miejscu lub na wynos,</w:t>
      </w:r>
    </w:p>
    <w:p w14:paraId="0CE6FBF8"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b) jest zazwyczaj spożywana bezpośrednio z pojemnika, oraz</w:t>
      </w:r>
    </w:p>
    <w:p w14:paraId="145D000F"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c) jest gotowa do spożycia bez dalszej obróbki, takiej jak przyrządzanie, gotowanie czy podgrzewanie,</w:t>
      </w:r>
    </w:p>
    <w:p w14:paraId="4ED8044F" w14:textId="77777777" w:rsidR="007104F8" w:rsidRDefault="007104F8" w:rsidP="007104F8">
      <w:pPr>
        <w:autoSpaceDE w:val="0"/>
        <w:autoSpaceDN w:val="0"/>
        <w:adjustRightInd w:val="0"/>
        <w:spacing w:after="0" w:line="240" w:lineRule="auto"/>
        <w:ind w:left="720"/>
        <w:rPr>
          <w:rFonts w:cs="TimesNewRoman"/>
          <w:sz w:val="24"/>
          <w:szCs w:val="24"/>
        </w:rPr>
      </w:pPr>
      <w:r>
        <w:rPr>
          <w:sz w:val="24"/>
        </w:rPr>
        <w:t>w tym pojemniki na żywność typu fast food lub na inne posiłki gotowe do bezpośredniego spożycia, z wyjątkiem pojemników na napoje, talerzy oraz paczek i owijek zawierających żywność;</w:t>
      </w:r>
    </w:p>
    <w:p w14:paraId="502A21C4"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7B5E3896" w14:textId="77777777" w:rsidR="007104F8" w:rsidRDefault="007104F8" w:rsidP="007104F8">
      <w:pPr>
        <w:autoSpaceDE w:val="0"/>
        <w:autoSpaceDN w:val="0"/>
        <w:adjustRightInd w:val="0"/>
        <w:spacing w:after="0" w:line="240" w:lineRule="auto"/>
        <w:rPr>
          <w:rFonts w:cs="TimesNewRoman"/>
          <w:sz w:val="24"/>
          <w:szCs w:val="24"/>
        </w:rPr>
      </w:pPr>
      <w:r>
        <w:rPr>
          <w:sz w:val="24"/>
        </w:rPr>
        <w:t>8)wykonane z polistyrenu ekspandowanego pojemniki na napoje, w tym ich zakrętki i wieczka;</w:t>
      </w:r>
    </w:p>
    <w:p w14:paraId="68ADD145"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6F422ACA" w14:textId="77777777" w:rsidR="007104F8" w:rsidRDefault="007104F8" w:rsidP="007104F8">
      <w:pPr>
        <w:autoSpaceDE w:val="0"/>
        <w:autoSpaceDN w:val="0"/>
        <w:adjustRightInd w:val="0"/>
        <w:spacing w:after="0" w:line="240" w:lineRule="auto"/>
        <w:rPr>
          <w:rFonts w:cs="TimesNewRoman"/>
          <w:sz w:val="24"/>
          <w:szCs w:val="24"/>
        </w:rPr>
      </w:pPr>
      <w:r>
        <w:rPr>
          <w:sz w:val="24"/>
        </w:rPr>
        <w:t>9) wykonane z polistyrenu ekspandowanego kubki na napoje, w tym ich zakrętki i wieczka.</w:t>
      </w:r>
    </w:p>
    <w:p w14:paraId="587088B5"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7039755F"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rPr>
      </w:pPr>
      <w:r>
        <w:rPr>
          <w:sz w:val="24"/>
        </w:rPr>
        <w:lastRenderedPageBreak/>
        <w:t>CZĘŚĆ C</w:t>
      </w:r>
    </w:p>
    <w:p w14:paraId="6758B3BF"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50F49880"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rPr>
        <w:t>Produkty jednorazowego użytku z tworzyw sztucznych, o których mowa w art. 6 ust. 1 dotyczącym wymogów mających zastosowanie do produktów</w:t>
      </w:r>
    </w:p>
    <w:p w14:paraId="528B58D7"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46DC10FD" w14:textId="77777777" w:rsidR="007104F8" w:rsidRDefault="007104F8" w:rsidP="00206537">
      <w:pPr>
        <w:keepNext/>
        <w:keepLines/>
        <w:autoSpaceDE w:val="0"/>
        <w:autoSpaceDN w:val="0"/>
        <w:adjustRightInd w:val="0"/>
        <w:spacing w:after="0" w:line="240" w:lineRule="auto"/>
        <w:rPr>
          <w:rFonts w:cs="TimesNewRoman"/>
          <w:sz w:val="24"/>
          <w:szCs w:val="24"/>
        </w:rPr>
      </w:pPr>
      <w:r>
        <w:rPr>
          <w:sz w:val="24"/>
        </w:rPr>
        <w:t>Pojemniki na napoje o pojemności do trzech litrów, tj. pojemniki stosowane do przechowywania napojów, takie jak butelki na napoje, w tym ich zakrętki i wieczka, oraz wielomateriałowe opakowania na napoje, w tym ich zakrętki i wieczka, ale nie:</w:t>
      </w:r>
    </w:p>
    <w:p w14:paraId="03848E6F"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0F58E79B"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a) szklane lub metalowe pojemniki na napoje, których zakrętki i wieczka wykonane są z tworzyw sztucznych,</w:t>
      </w:r>
    </w:p>
    <w:p w14:paraId="60B9F063" w14:textId="77777777" w:rsidR="007104F8" w:rsidRDefault="007104F8" w:rsidP="007104F8">
      <w:pPr>
        <w:autoSpaceDE w:val="0"/>
        <w:autoSpaceDN w:val="0"/>
        <w:adjustRightInd w:val="0"/>
        <w:spacing w:after="0" w:line="240" w:lineRule="auto"/>
        <w:ind w:left="720"/>
        <w:rPr>
          <w:rFonts w:cs="TimesNewRoman"/>
          <w:sz w:val="24"/>
          <w:szCs w:val="24"/>
        </w:rPr>
      </w:pPr>
      <w:r>
        <w:rPr>
          <w:sz w:val="24"/>
        </w:rPr>
        <w:t>b) pojemniki na napoje przeznaczone i wykorzystywane do mającej płynną postać żywności specjalnego przeznaczenia medycznego zgodnie z definicją w art. 2 lit. g) rozporządzenia Parlamentu Europejskiego i Rady (UE) nr 609/2013</w:t>
      </w:r>
      <w:r>
        <w:rPr>
          <w:rStyle w:val="FootnoteReference"/>
          <w:rFonts w:cs="TimesNewRoman"/>
          <w:sz w:val="24"/>
          <w:szCs w:val="24"/>
          <w:lang w:val="fr-LU" w:eastAsia="fr-BE"/>
        </w:rPr>
        <w:footnoteReference w:id="3"/>
      </w:r>
      <w:r>
        <w:rPr>
          <w:sz w:val="24"/>
        </w:rPr>
        <w:t>.</w:t>
      </w:r>
    </w:p>
    <w:p w14:paraId="5847DFF4" w14:textId="77777777" w:rsidR="007104F8" w:rsidRDefault="007104F8" w:rsidP="007104F8">
      <w:pPr>
        <w:autoSpaceDE w:val="0"/>
        <w:autoSpaceDN w:val="0"/>
        <w:adjustRightInd w:val="0"/>
        <w:spacing w:after="0" w:line="240" w:lineRule="auto"/>
        <w:ind w:left="720"/>
        <w:rPr>
          <w:rFonts w:cs="TimesNewRoman"/>
          <w:sz w:val="24"/>
          <w:szCs w:val="24"/>
          <w:lang w:val="fr-LU" w:eastAsia="fr-BE"/>
        </w:rPr>
      </w:pPr>
    </w:p>
    <w:p w14:paraId="5867733F"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13BD2F66"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rPr>
        <w:t>CZĘŚĆ D</w:t>
      </w:r>
    </w:p>
    <w:p w14:paraId="5BD02B07"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5C0F969D"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rPr>
        <w:t>Produkty jednorazowego użytku z tworzyw sztucznych, o których mowa w art. 7 dotyczącym wymogów w zakresie oznakowania</w:t>
      </w:r>
    </w:p>
    <w:p w14:paraId="5D11F487"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14DEC3AD" w14:textId="77777777" w:rsidR="007104F8" w:rsidRDefault="007104F8" w:rsidP="007104F8">
      <w:pPr>
        <w:autoSpaceDE w:val="0"/>
        <w:autoSpaceDN w:val="0"/>
        <w:adjustRightInd w:val="0"/>
        <w:spacing w:after="0" w:line="240" w:lineRule="auto"/>
        <w:rPr>
          <w:rFonts w:cs="TimesNewRoman"/>
          <w:sz w:val="24"/>
          <w:szCs w:val="24"/>
        </w:rPr>
      </w:pPr>
      <w:r>
        <w:rPr>
          <w:sz w:val="24"/>
        </w:rPr>
        <w:t>1) Podpaski higieniczne, tampony oraz aplikatory tamponów;</w:t>
      </w:r>
    </w:p>
    <w:p w14:paraId="41057527"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96C2094" w14:textId="77777777" w:rsidR="007104F8" w:rsidRDefault="007104F8" w:rsidP="007104F8">
      <w:pPr>
        <w:autoSpaceDE w:val="0"/>
        <w:autoSpaceDN w:val="0"/>
        <w:adjustRightInd w:val="0"/>
        <w:spacing w:after="0" w:line="240" w:lineRule="auto"/>
        <w:rPr>
          <w:rFonts w:cs="TimesNewRoman"/>
          <w:sz w:val="24"/>
          <w:szCs w:val="24"/>
        </w:rPr>
      </w:pPr>
      <w:r>
        <w:rPr>
          <w:sz w:val="24"/>
        </w:rPr>
        <w:t>2) chusteczki nawilżane, tj. uprzednio nawilżone chusteczki przeznaczone do higieny osobistej i uprzednio nawilżone chusteczki do użytku domowego;</w:t>
      </w:r>
    </w:p>
    <w:p w14:paraId="142A8537"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E455257" w14:textId="77777777" w:rsidR="007104F8" w:rsidRDefault="007104F8" w:rsidP="007104F8">
      <w:pPr>
        <w:autoSpaceDE w:val="0"/>
        <w:autoSpaceDN w:val="0"/>
        <w:adjustRightInd w:val="0"/>
        <w:spacing w:after="0" w:line="240" w:lineRule="auto"/>
        <w:rPr>
          <w:rFonts w:cs="TimesNewRoman"/>
          <w:sz w:val="24"/>
          <w:szCs w:val="24"/>
        </w:rPr>
      </w:pPr>
      <w:r>
        <w:rPr>
          <w:sz w:val="24"/>
        </w:rPr>
        <w:t xml:space="preserve">3) wyroby tytoniowe z filtrami i filtry sprzedawane do używania </w:t>
      </w:r>
    </w:p>
    <w:p w14:paraId="0474B8C3" w14:textId="77777777" w:rsidR="007104F8" w:rsidRDefault="007104F8" w:rsidP="007104F8">
      <w:pPr>
        <w:autoSpaceDE w:val="0"/>
        <w:autoSpaceDN w:val="0"/>
        <w:adjustRightInd w:val="0"/>
        <w:spacing w:after="0" w:line="240" w:lineRule="auto"/>
        <w:rPr>
          <w:rFonts w:cs="TimesNewRoman"/>
          <w:sz w:val="24"/>
          <w:szCs w:val="24"/>
        </w:rPr>
      </w:pPr>
      <w:r>
        <w:rPr>
          <w:sz w:val="24"/>
        </w:rPr>
        <w:t xml:space="preserve"> z wyrobami tytoniowymi;</w:t>
      </w:r>
    </w:p>
    <w:p w14:paraId="0CE0CC90"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27145AE0" w14:textId="77777777" w:rsidR="007104F8" w:rsidRPr="008E1574" w:rsidRDefault="007104F8" w:rsidP="007104F8">
      <w:pPr>
        <w:autoSpaceDE w:val="0"/>
        <w:autoSpaceDN w:val="0"/>
        <w:adjustRightInd w:val="0"/>
        <w:spacing w:after="0" w:line="240" w:lineRule="auto"/>
        <w:rPr>
          <w:rFonts w:cs="TimesNewRoman"/>
          <w:sz w:val="24"/>
          <w:szCs w:val="24"/>
        </w:rPr>
      </w:pPr>
      <w:r>
        <w:rPr>
          <w:sz w:val="24"/>
        </w:rPr>
        <w:t>4) kubki na napoje.</w:t>
      </w:r>
    </w:p>
    <w:p w14:paraId="52EEFD72"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57DCF7D"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rPr>
        <w:t>CZĘŚĆ E</w:t>
      </w:r>
    </w:p>
    <w:p w14:paraId="368DB66B"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759BEFB3"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rPr>
        <w:t>I. Produkty jednorazowego użytku z tworzyw sztucznych, o których mowa w art. 8 dotyczącym rozszerzonej odpowiedzialności producenta</w:t>
      </w:r>
    </w:p>
    <w:p w14:paraId="7A479525"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273194AB"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rPr>
        <w:t>1) pojemniki na żywność, tj. pojemniki takie jak pudełka, z pokrywką lub bez, stosowane w celu umieszczania w nich żywności, która:</w:t>
      </w:r>
    </w:p>
    <w:p w14:paraId="34213113"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a) jest przeznaczona do bezpośredniego spożycia, na miejscu lub na wynos,</w:t>
      </w:r>
    </w:p>
    <w:p w14:paraId="78646E48"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lastRenderedPageBreak/>
        <w:t>b) jest zazwyczaj spożywana bezpośrednio z pojemnika, oraz</w:t>
      </w:r>
    </w:p>
    <w:p w14:paraId="3FE7ABD4"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c) jest gotowa do spożycia bez dalszej obróbki, takiej jak przyrządzanie, gotowanie czy podgrzewanie,</w:t>
      </w:r>
    </w:p>
    <w:p w14:paraId="35B7BE9B" w14:textId="77777777" w:rsidR="007104F8" w:rsidRDefault="007104F8" w:rsidP="007104F8">
      <w:pPr>
        <w:autoSpaceDE w:val="0"/>
        <w:autoSpaceDN w:val="0"/>
        <w:adjustRightInd w:val="0"/>
        <w:spacing w:after="0" w:line="240" w:lineRule="auto"/>
        <w:ind w:left="720"/>
        <w:rPr>
          <w:rFonts w:cs="TimesNewRoman"/>
          <w:sz w:val="24"/>
          <w:szCs w:val="24"/>
        </w:rPr>
      </w:pPr>
      <w:r>
        <w:rPr>
          <w:sz w:val="24"/>
        </w:rPr>
        <w:t>w tym pojemniki na żywność typu fast food lub na inne posiłki gotowe do bezpośredniego spożycia, z wyjątkiem pojemników na napoje, talerzy oraz paczek i owijek zawierających żywność;</w:t>
      </w:r>
    </w:p>
    <w:p w14:paraId="65180AEF"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66686FBA" w14:textId="77777777" w:rsidR="007104F8" w:rsidRDefault="007104F8" w:rsidP="007104F8">
      <w:pPr>
        <w:autoSpaceDE w:val="0"/>
        <w:autoSpaceDN w:val="0"/>
        <w:adjustRightInd w:val="0"/>
        <w:spacing w:after="0" w:line="240" w:lineRule="auto"/>
        <w:rPr>
          <w:rFonts w:cs="TimesNewRoman"/>
          <w:sz w:val="24"/>
          <w:szCs w:val="24"/>
        </w:rPr>
      </w:pPr>
      <w:r>
        <w:rPr>
          <w:sz w:val="24"/>
        </w:rPr>
        <w:t>2)  paczki i owijki wykonane z elastycznych materiałów zawierające żywność przeznaczoną do bezpośredniego spożycia z paczki lub owijki bez żadnej dalszej obróbki;</w:t>
      </w:r>
    </w:p>
    <w:p w14:paraId="4F932AE8"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5BE1D52E" w14:textId="77777777" w:rsidR="007104F8" w:rsidRDefault="007104F8" w:rsidP="007104F8">
      <w:pPr>
        <w:autoSpaceDE w:val="0"/>
        <w:autoSpaceDN w:val="0"/>
        <w:adjustRightInd w:val="0"/>
        <w:spacing w:after="0" w:line="240" w:lineRule="auto"/>
        <w:rPr>
          <w:rFonts w:cs="TimesNewRoman"/>
          <w:sz w:val="24"/>
          <w:szCs w:val="24"/>
        </w:rPr>
      </w:pPr>
      <w:r>
        <w:rPr>
          <w:sz w:val="24"/>
        </w:rPr>
        <w:t>3) pojemniki na napoje o pojemności do trzech litrów, tj. pojemniki stosowane do przechowywania napojów, takie jak butelki na napoje, w tym ich zakrętki i wieczka, oraz wielomateriałowe opakowania na napoje, w tym ich zakrętki i wieczka, ale nie szklane lub metalowe pojemniki na napoje, których zakrętki i wieczka wykonane są z tworzyw sztucznych;</w:t>
      </w:r>
    </w:p>
    <w:p w14:paraId="01BC29D2"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2A9D042E" w14:textId="77777777" w:rsidR="007104F8" w:rsidRDefault="007104F8" w:rsidP="007104F8">
      <w:pPr>
        <w:autoSpaceDE w:val="0"/>
        <w:autoSpaceDN w:val="0"/>
        <w:adjustRightInd w:val="0"/>
        <w:spacing w:after="0" w:line="240" w:lineRule="auto"/>
        <w:rPr>
          <w:rFonts w:cs="TimesNewRoman"/>
          <w:sz w:val="24"/>
          <w:szCs w:val="24"/>
        </w:rPr>
      </w:pPr>
      <w:r>
        <w:rPr>
          <w:sz w:val="24"/>
        </w:rPr>
        <w:t>4) kubki na napoje, w tym ich pokrywki i wieczka;</w:t>
      </w:r>
    </w:p>
    <w:p w14:paraId="64B6169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88E0423" w14:textId="77777777" w:rsidR="007104F8" w:rsidRDefault="007104F8" w:rsidP="007104F8">
      <w:pPr>
        <w:autoSpaceDE w:val="0"/>
        <w:autoSpaceDN w:val="0"/>
        <w:adjustRightInd w:val="0"/>
        <w:spacing w:after="0" w:line="240" w:lineRule="auto"/>
        <w:rPr>
          <w:rFonts w:cs="TimesNewRoman"/>
          <w:sz w:val="24"/>
          <w:szCs w:val="24"/>
        </w:rPr>
      </w:pPr>
      <w:r>
        <w:rPr>
          <w:sz w:val="24"/>
        </w:rPr>
        <w:t>5) lekkie plastikowe torby na zakupy zgodnie z definicją w art. 3 pkt 1 lit. c) dyrektywy 94/62/WE.</w:t>
      </w:r>
    </w:p>
    <w:p w14:paraId="3B4185A9"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BB18128" w14:textId="77777777" w:rsidR="007104F8" w:rsidRDefault="007104F8" w:rsidP="00206537">
      <w:pPr>
        <w:keepNext/>
        <w:keepLines/>
        <w:autoSpaceDE w:val="0"/>
        <w:autoSpaceDN w:val="0"/>
        <w:adjustRightInd w:val="0"/>
        <w:spacing w:after="0" w:line="240" w:lineRule="auto"/>
        <w:rPr>
          <w:rFonts w:cs="TimesNewRoman"/>
          <w:b/>
          <w:sz w:val="24"/>
          <w:szCs w:val="24"/>
        </w:rPr>
      </w:pPr>
      <w:r>
        <w:rPr>
          <w:b/>
          <w:sz w:val="24"/>
        </w:rPr>
        <w:t>II. Produkty jednorazowego użytku z tworzyw sztucznych, o których mowa w art. 8 ust. 3 dotyczącym rozszerzonej odpowiedzialności producenta</w:t>
      </w:r>
    </w:p>
    <w:p w14:paraId="43B4B06D" w14:textId="77777777" w:rsidR="007104F8" w:rsidRPr="00E067C6" w:rsidRDefault="007104F8" w:rsidP="00206537">
      <w:pPr>
        <w:keepNext/>
        <w:keepLines/>
        <w:autoSpaceDE w:val="0"/>
        <w:autoSpaceDN w:val="0"/>
        <w:adjustRightInd w:val="0"/>
        <w:spacing w:after="0" w:line="240" w:lineRule="auto"/>
        <w:rPr>
          <w:rFonts w:cs="TimesNewRoman"/>
          <w:b/>
          <w:sz w:val="24"/>
          <w:szCs w:val="24"/>
          <w:lang w:val="fr-LU" w:eastAsia="fr-BE"/>
        </w:rPr>
      </w:pPr>
    </w:p>
    <w:p w14:paraId="05E117B9" w14:textId="77777777" w:rsidR="007104F8" w:rsidRDefault="007104F8" w:rsidP="007104F8">
      <w:pPr>
        <w:autoSpaceDE w:val="0"/>
        <w:autoSpaceDN w:val="0"/>
        <w:adjustRightInd w:val="0"/>
        <w:spacing w:after="0" w:line="240" w:lineRule="auto"/>
        <w:rPr>
          <w:rFonts w:cs="TimesNewRoman"/>
          <w:sz w:val="24"/>
          <w:szCs w:val="24"/>
        </w:rPr>
      </w:pPr>
      <w:r>
        <w:rPr>
          <w:sz w:val="24"/>
        </w:rPr>
        <w:t>1) chusteczki nawilżane, tj. uprzednio nawilżone chusteczki przeznaczone do higieny osobistej i uprzednio nawilżone chusteczki do użytku domowego;</w:t>
      </w:r>
    </w:p>
    <w:p w14:paraId="2757CAAF" w14:textId="77777777" w:rsidR="007104F8" w:rsidRPr="00E067C6" w:rsidRDefault="007104F8" w:rsidP="007104F8">
      <w:pPr>
        <w:autoSpaceDE w:val="0"/>
        <w:autoSpaceDN w:val="0"/>
        <w:adjustRightInd w:val="0"/>
        <w:spacing w:after="0" w:line="240" w:lineRule="auto"/>
        <w:rPr>
          <w:rFonts w:cs="TimesNewRoman"/>
          <w:sz w:val="24"/>
          <w:szCs w:val="24"/>
          <w:lang w:val="fr-LU" w:eastAsia="fr-BE"/>
        </w:rPr>
      </w:pPr>
    </w:p>
    <w:p w14:paraId="6E075112" w14:textId="77777777" w:rsidR="007104F8" w:rsidRDefault="007104F8" w:rsidP="007104F8">
      <w:pPr>
        <w:autoSpaceDE w:val="0"/>
        <w:autoSpaceDN w:val="0"/>
        <w:adjustRightInd w:val="0"/>
        <w:spacing w:after="0" w:line="240" w:lineRule="auto"/>
        <w:rPr>
          <w:rFonts w:cs="TimesNewRoman"/>
          <w:sz w:val="24"/>
          <w:szCs w:val="24"/>
        </w:rPr>
      </w:pPr>
      <w:r>
        <w:rPr>
          <w:sz w:val="24"/>
        </w:rPr>
        <w:t>2) balony, z wyjątkiem balonów do użytku przemysłowego lub innych profesjonalnych zastosowań, które to balony nie są rozprowadzane wśród konsumentów.</w:t>
      </w:r>
    </w:p>
    <w:p w14:paraId="29BE13E8"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7C0E6233"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rPr>
        <w:t>III. Inne produkty jednorazowego użytku z tworzyw sztucznych, o których mowa w art. 8 ust. 3 dotyczącym rozszerzonej odpowiedzialności producenta</w:t>
      </w:r>
    </w:p>
    <w:p w14:paraId="4EDA4433"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2677342B" w14:textId="77777777" w:rsidR="007104F8" w:rsidRDefault="007104F8" w:rsidP="007104F8">
      <w:pPr>
        <w:autoSpaceDE w:val="0"/>
        <w:autoSpaceDN w:val="0"/>
        <w:adjustRightInd w:val="0"/>
        <w:spacing w:after="0" w:line="240" w:lineRule="auto"/>
        <w:rPr>
          <w:rFonts w:cs="TimesNewRoman"/>
          <w:sz w:val="24"/>
          <w:szCs w:val="24"/>
        </w:rPr>
      </w:pPr>
      <w:r>
        <w:rPr>
          <w:sz w:val="24"/>
        </w:rPr>
        <w:t>Wyroby tytoniowe z filtrami i filtry sprzedawane do używania z wyrobami tytoniowymi.</w:t>
      </w:r>
    </w:p>
    <w:p w14:paraId="46190EB7"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4A566C0E"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rPr>
        <w:t>CZĘŚĆ F</w:t>
      </w:r>
    </w:p>
    <w:p w14:paraId="707C2C4D"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6BC704B"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rPr>
        <w:t>Produkty jednorazowego użytku z tworzyw sztucznych, o których mowa w art. 9 dotyczącym selektywnej zbiórki oraz w art. 6 ust. 2 dotyczącym wymogów mających zastosowanie do produktów</w:t>
      </w:r>
    </w:p>
    <w:p w14:paraId="662CE3DB"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32E3700" w14:textId="77777777" w:rsidR="007104F8" w:rsidRDefault="007104F8" w:rsidP="00206537">
      <w:pPr>
        <w:keepNext/>
        <w:keepLines/>
        <w:autoSpaceDE w:val="0"/>
        <w:autoSpaceDN w:val="0"/>
        <w:adjustRightInd w:val="0"/>
        <w:spacing w:after="0" w:line="240" w:lineRule="auto"/>
        <w:rPr>
          <w:rFonts w:cs="TimesNewRoman"/>
          <w:sz w:val="24"/>
          <w:szCs w:val="24"/>
        </w:rPr>
      </w:pPr>
      <w:r>
        <w:rPr>
          <w:sz w:val="24"/>
        </w:rPr>
        <w:t>Butelki na napoje o pojemności do trzech litrów, w tym ich zakrętki i wieczka, ale nie:</w:t>
      </w:r>
    </w:p>
    <w:p w14:paraId="7F00F129"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2309CE4" w14:textId="77777777" w:rsidR="007104F8" w:rsidRPr="00E056C8" w:rsidRDefault="007104F8" w:rsidP="007104F8">
      <w:pPr>
        <w:autoSpaceDE w:val="0"/>
        <w:autoSpaceDN w:val="0"/>
        <w:adjustRightInd w:val="0"/>
        <w:spacing w:after="0" w:line="240" w:lineRule="auto"/>
        <w:rPr>
          <w:rFonts w:cs="TimesNewRoman"/>
          <w:sz w:val="24"/>
          <w:szCs w:val="24"/>
        </w:rPr>
      </w:pPr>
      <w:r>
        <w:rPr>
          <w:sz w:val="24"/>
        </w:rPr>
        <w:t>a) szklane lub metalowe butelki na napoje, których zakrętki i wieczka wykonane są z tworzyw sztucznych;</w:t>
      </w:r>
    </w:p>
    <w:p w14:paraId="7DFFBF5A" w14:textId="77777777" w:rsidR="007104F8" w:rsidRDefault="007104F8" w:rsidP="007104F8">
      <w:pPr>
        <w:autoSpaceDE w:val="0"/>
        <w:autoSpaceDN w:val="0"/>
        <w:adjustRightInd w:val="0"/>
        <w:spacing w:after="0" w:line="240" w:lineRule="auto"/>
        <w:rPr>
          <w:rFonts w:cs="TimesNewRoman"/>
          <w:sz w:val="24"/>
          <w:szCs w:val="24"/>
        </w:rPr>
      </w:pPr>
      <w:r>
        <w:rPr>
          <w:sz w:val="24"/>
        </w:rPr>
        <w:lastRenderedPageBreak/>
        <w:t>b) butelki na napoje przeznaczone i wykorzystywane do mającej płynną postać żywności specjalnego przeznaczenia medycznego zgodnie z definicją w art. 2 lit. g) rozporządzenia (UE) nr 609/2013.</w:t>
      </w:r>
    </w:p>
    <w:p w14:paraId="575CC872"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1D8294DC"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rPr>
        <w:t>CZĘŚĆ G</w:t>
      </w:r>
    </w:p>
    <w:p w14:paraId="35956E6D" w14:textId="77777777" w:rsidR="007104F8" w:rsidRPr="00E056C8"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40BA0F68" w14:textId="77777777" w:rsidR="007104F8" w:rsidRPr="004578C8" w:rsidRDefault="007104F8" w:rsidP="00206537">
      <w:pPr>
        <w:keepNext/>
        <w:keepLines/>
        <w:autoSpaceDE w:val="0"/>
        <w:autoSpaceDN w:val="0"/>
        <w:adjustRightInd w:val="0"/>
        <w:spacing w:after="0" w:line="240" w:lineRule="auto"/>
        <w:rPr>
          <w:rFonts w:cs="TimesNewRoman"/>
          <w:b/>
          <w:sz w:val="24"/>
          <w:szCs w:val="24"/>
        </w:rPr>
      </w:pPr>
      <w:r>
        <w:rPr>
          <w:b/>
          <w:sz w:val="24"/>
        </w:rPr>
        <w:t>Produkty jednorazowego użytku z tworzyw sztucznych objęte art. 10 dotyczącym  upowszechniania wiedzy</w:t>
      </w:r>
    </w:p>
    <w:p w14:paraId="3CEDF162"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0F5205F6" w14:textId="77777777" w:rsidR="007104F8" w:rsidRPr="00E056C8" w:rsidRDefault="007104F8" w:rsidP="00206537">
      <w:pPr>
        <w:keepNext/>
        <w:keepLines/>
        <w:autoSpaceDE w:val="0"/>
        <w:autoSpaceDN w:val="0"/>
        <w:adjustRightInd w:val="0"/>
        <w:spacing w:after="0" w:line="240" w:lineRule="auto"/>
        <w:rPr>
          <w:rFonts w:cs="TimesNewRoman"/>
          <w:sz w:val="24"/>
          <w:szCs w:val="24"/>
        </w:rPr>
      </w:pPr>
      <w:r>
        <w:rPr>
          <w:sz w:val="24"/>
        </w:rPr>
        <w:t>1) pojemniki na żywność, tj. pojemniki takie jak pudełka, z pokrywką lub bez, stosowane w celu umieszczania w nich żywności, która:</w:t>
      </w:r>
    </w:p>
    <w:p w14:paraId="58BB5B2C"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rPr>
        <w:t>a) jest przeznaczona do bezpośredniego spożycia, na miejscu lub na wynos,</w:t>
      </w:r>
    </w:p>
    <w:p w14:paraId="26A598A7"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rPr>
        <w:t>b) jest zazwyczaj spożywana bezpośrednio z pojemnika, oraz</w:t>
      </w:r>
    </w:p>
    <w:p w14:paraId="39DE0733"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rPr>
        <w:t>c) jest gotowa do spożycia bez dalszej obróbki, takiej jak przyrządzanie, gotowanie czy podgrzewanie,</w:t>
      </w:r>
    </w:p>
    <w:p w14:paraId="15C702C7" w14:textId="77777777" w:rsidR="007104F8" w:rsidRDefault="007104F8" w:rsidP="007104F8">
      <w:pPr>
        <w:autoSpaceDE w:val="0"/>
        <w:autoSpaceDN w:val="0"/>
        <w:adjustRightInd w:val="0"/>
        <w:spacing w:after="0" w:line="240" w:lineRule="auto"/>
        <w:ind w:left="720"/>
        <w:rPr>
          <w:rFonts w:cs="TimesNewRoman"/>
          <w:sz w:val="24"/>
          <w:szCs w:val="24"/>
        </w:rPr>
      </w:pPr>
      <w:r>
        <w:rPr>
          <w:sz w:val="24"/>
        </w:rPr>
        <w:t>w tym pojemniki na żywność typu fast food lub na inne posiłki gotowe do bezpośredniego spożycia, z wyjątkiem pojemników na napoje, talerzy oraz paczek i owijek zawierających żywność;</w:t>
      </w:r>
    </w:p>
    <w:p w14:paraId="0EC23834"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4BF2E74D" w14:textId="77777777" w:rsidR="007104F8" w:rsidRDefault="007104F8" w:rsidP="007104F8">
      <w:pPr>
        <w:autoSpaceDE w:val="0"/>
        <w:autoSpaceDN w:val="0"/>
        <w:adjustRightInd w:val="0"/>
        <w:spacing w:after="0" w:line="240" w:lineRule="auto"/>
        <w:rPr>
          <w:rFonts w:cs="TimesNewRoman"/>
          <w:sz w:val="24"/>
          <w:szCs w:val="24"/>
        </w:rPr>
      </w:pPr>
      <w:r>
        <w:rPr>
          <w:sz w:val="24"/>
        </w:rPr>
        <w:t>2)  paczki i owijki wykonane z elastycznych materiałów zawierające żywność przeznaczoną do bezpośredniego spożycia z paczki lub owijki bez żadnej dalszej obróbki;</w:t>
      </w:r>
    </w:p>
    <w:p w14:paraId="40A04898"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600DBDF7" w14:textId="77777777" w:rsidR="007104F8" w:rsidRDefault="007104F8" w:rsidP="007104F8">
      <w:pPr>
        <w:autoSpaceDE w:val="0"/>
        <w:autoSpaceDN w:val="0"/>
        <w:adjustRightInd w:val="0"/>
        <w:spacing w:after="0" w:line="240" w:lineRule="auto"/>
        <w:rPr>
          <w:rFonts w:cs="TimesNewRoman"/>
          <w:sz w:val="24"/>
          <w:szCs w:val="24"/>
        </w:rPr>
      </w:pPr>
      <w:r>
        <w:rPr>
          <w:sz w:val="24"/>
        </w:rPr>
        <w:t>3) pojemniki na napoje o pojemności do trzech litrów, tj. pojemniki stosowane do przechowywania napojów, takie jak butelki na napoje, w tym ich zakrętki i wieczka, oraz wielomateriałowe opakowania na napoje, w tym ich zakrętki i wieczka, ale nie szklane lub metalowe pojemniki na napoje, których zakrętki i wieczka wykonane są z tworzyw sztucznych;</w:t>
      </w:r>
    </w:p>
    <w:p w14:paraId="0A3DA944"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7A9344D4" w14:textId="77777777" w:rsidR="007104F8" w:rsidRDefault="007104F8" w:rsidP="007104F8">
      <w:pPr>
        <w:autoSpaceDE w:val="0"/>
        <w:autoSpaceDN w:val="0"/>
        <w:adjustRightInd w:val="0"/>
        <w:spacing w:after="0" w:line="240" w:lineRule="auto"/>
        <w:rPr>
          <w:rFonts w:cs="TimesNewRoman"/>
          <w:sz w:val="24"/>
          <w:szCs w:val="24"/>
        </w:rPr>
      </w:pPr>
      <w:r>
        <w:rPr>
          <w:sz w:val="24"/>
        </w:rPr>
        <w:t>4) kubki na napoje, w tym ich pokrywki i wieczka;</w:t>
      </w:r>
    </w:p>
    <w:p w14:paraId="7EC482E1"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53DDFA55" w14:textId="77777777" w:rsidR="007104F8" w:rsidRDefault="007104F8" w:rsidP="007104F8">
      <w:pPr>
        <w:autoSpaceDE w:val="0"/>
        <w:autoSpaceDN w:val="0"/>
        <w:adjustRightInd w:val="0"/>
        <w:spacing w:after="0" w:line="240" w:lineRule="auto"/>
        <w:rPr>
          <w:rFonts w:cs="TimesNewRoman"/>
          <w:sz w:val="24"/>
          <w:szCs w:val="24"/>
        </w:rPr>
      </w:pPr>
      <w:r>
        <w:rPr>
          <w:sz w:val="24"/>
        </w:rPr>
        <w:t>5) wyroby tytoniowe z filtrami i filtry sprzedawane do używania łącznie z wyrobami tytoniowymi;</w:t>
      </w:r>
    </w:p>
    <w:p w14:paraId="05D96DD1"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0156A3BA" w14:textId="77777777" w:rsidR="007104F8" w:rsidRDefault="007104F8" w:rsidP="007104F8">
      <w:pPr>
        <w:autoSpaceDE w:val="0"/>
        <w:autoSpaceDN w:val="0"/>
        <w:adjustRightInd w:val="0"/>
        <w:spacing w:after="0" w:line="240" w:lineRule="auto"/>
        <w:rPr>
          <w:rFonts w:cs="TimesNewRoman"/>
          <w:sz w:val="24"/>
          <w:szCs w:val="24"/>
        </w:rPr>
      </w:pPr>
      <w:r>
        <w:rPr>
          <w:sz w:val="24"/>
        </w:rPr>
        <w:t>6) chusteczki nawilżane, tj. uprzednio nawilżone chusteczki przeznaczone do higieny osobistej i uprzednio nawilżone chusteczki do użytku domowego;</w:t>
      </w:r>
    </w:p>
    <w:p w14:paraId="73D3BDE8"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1D2954FC" w14:textId="77777777" w:rsidR="007104F8" w:rsidRDefault="007104F8" w:rsidP="007104F8">
      <w:pPr>
        <w:autoSpaceDE w:val="0"/>
        <w:autoSpaceDN w:val="0"/>
        <w:adjustRightInd w:val="0"/>
        <w:spacing w:after="0" w:line="240" w:lineRule="auto"/>
        <w:rPr>
          <w:rFonts w:cs="TimesNewRoman"/>
          <w:sz w:val="24"/>
          <w:szCs w:val="24"/>
        </w:rPr>
      </w:pPr>
      <w:r>
        <w:rPr>
          <w:sz w:val="24"/>
        </w:rPr>
        <w:t>7) balony, z wyjątkiem balonów do użytku przemysłowego lub innych profesjonalnych zastosowań, które to balony nie są rozprowadzane wśród konsumentów;</w:t>
      </w:r>
    </w:p>
    <w:p w14:paraId="55AE158C"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127D7913" w14:textId="77777777" w:rsidR="007104F8" w:rsidRDefault="007104F8" w:rsidP="007104F8">
      <w:pPr>
        <w:autoSpaceDE w:val="0"/>
        <w:autoSpaceDN w:val="0"/>
        <w:adjustRightInd w:val="0"/>
        <w:spacing w:after="0" w:line="240" w:lineRule="auto"/>
        <w:rPr>
          <w:rFonts w:cs="TimesNewRoman"/>
          <w:sz w:val="24"/>
          <w:szCs w:val="24"/>
        </w:rPr>
      </w:pPr>
      <w:r>
        <w:rPr>
          <w:sz w:val="24"/>
        </w:rPr>
        <w:t>8) lekkie plastikowe torby na zakupy zgodnie z definicją w art. 3 pkt 1 lit. c) dyrektywy 94/62/WE;</w:t>
      </w:r>
    </w:p>
    <w:p w14:paraId="729A7FE0" w14:textId="77777777" w:rsidR="007104F8" w:rsidRPr="004578C8" w:rsidRDefault="007104F8" w:rsidP="007104F8">
      <w:pPr>
        <w:autoSpaceDE w:val="0"/>
        <w:autoSpaceDN w:val="0"/>
        <w:adjustRightInd w:val="0"/>
        <w:spacing w:after="0" w:line="240" w:lineRule="auto"/>
        <w:rPr>
          <w:rFonts w:cs="TimesNewRoman"/>
          <w:sz w:val="24"/>
          <w:szCs w:val="24"/>
          <w:lang w:val="fr-LU" w:eastAsia="fr-BE"/>
        </w:rPr>
      </w:pPr>
    </w:p>
    <w:p w14:paraId="5B9CBCB6" w14:textId="4F929A79" w:rsidR="007104F8" w:rsidRDefault="007104F8" w:rsidP="007104F8">
      <w:pPr>
        <w:autoSpaceDE w:val="0"/>
        <w:autoSpaceDN w:val="0"/>
        <w:adjustRightInd w:val="0"/>
        <w:spacing w:after="0" w:line="240" w:lineRule="auto"/>
        <w:rPr>
          <w:rFonts w:cs="TimesNewRoman"/>
          <w:sz w:val="24"/>
          <w:szCs w:val="24"/>
          <w:lang w:val="fr-LU" w:eastAsia="fr-BE"/>
        </w:rPr>
      </w:pPr>
      <w:r>
        <w:rPr>
          <w:sz w:val="24"/>
        </w:rPr>
        <w:t>9) podpaski higieniczne, tampony oraz aplikatory do tamponów.</w:t>
      </w:r>
    </w:p>
    <w:p w14:paraId="270086C8"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A3F7960" w14:textId="77777777" w:rsidR="00A613C2" w:rsidRPr="007104F8" w:rsidRDefault="00A613C2" w:rsidP="007104F8">
      <w:pPr>
        <w:spacing w:after="200" w:line="276" w:lineRule="auto"/>
        <w:rPr>
          <w:rFonts w:cs="TimesNewRoman"/>
          <w:sz w:val="24"/>
          <w:szCs w:val="24"/>
          <w:lang w:val="fr-LU" w:eastAsia="fr-BE"/>
        </w:rPr>
      </w:pPr>
    </w:p>
    <w:sectPr w:rsidR="00A613C2" w:rsidRPr="007104F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265EE" w14:textId="77777777" w:rsidR="007104F8" w:rsidRDefault="007104F8" w:rsidP="007104F8">
      <w:pPr>
        <w:spacing w:after="0" w:line="240" w:lineRule="auto"/>
      </w:pPr>
      <w:r>
        <w:separator/>
      </w:r>
    </w:p>
  </w:endnote>
  <w:endnote w:type="continuationSeparator" w:id="0">
    <w:p w14:paraId="7D910666" w14:textId="77777777" w:rsidR="007104F8" w:rsidRDefault="007104F8" w:rsidP="0071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04618" w14:textId="77777777" w:rsidR="007104F8" w:rsidRDefault="007104F8" w:rsidP="007104F8">
      <w:pPr>
        <w:spacing w:after="0" w:line="240" w:lineRule="auto"/>
      </w:pPr>
      <w:r>
        <w:separator/>
      </w:r>
    </w:p>
  </w:footnote>
  <w:footnote w:type="continuationSeparator" w:id="0">
    <w:p w14:paraId="592932D1" w14:textId="77777777" w:rsidR="007104F8" w:rsidRDefault="007104F8" w:rsidP="007104F8">
      <w:pPr>
        <w:spacing w:after="0" w:line="240" w:lineRule="auto"/>
      </w:pPr>
      <w:r>
        <w:continuationSeparator/>
      </w:r>
    </w:p>
  </w:footnote>
  <w:footnote w:id="1">
    <w:p w14:paraId="752260E5" w14:textId="77777777" w:rsidR="007104F8" w:rsidRPr="006227D4" w:rsidRDefault="007104F8" w:rsidP="007104F8">
      <w:pPr>
        <w:pStyle w:val="FootnoteText"/>
      </w:pPr>
      <w:r>
        <w:rPr>
          <w:rStyle w:val="FootnoteReference"/>
        </w:rPr>
        <w:footnoteRef/>
      </w:r>
      <w:r>
        <w:t xml:space="preserve"> Dyrektywa Rady 90/385/EWG z dnia 20 czerwca 1990 r. w sprawie zbliżenia ustawodawstw państw członkowskich odnoszących się do wyrobów medycznych aktywnego osadzania (Dz.U. L 189 z 20.7.1990, s. 17).</w:t>
      </w:r>
    </w:p>
  </w:footnote>
  <w:footnote w:id="2">
    <w:p w14:paraId="42EC3717" w14:textId="77777777" w:rsidR="007104F8" w:rsidRPr="007115EB" w:rsidRDefault="007104F8" w:rsidP="007104F8">
      <w:pPr>
        <w:pStyle w:val="FootnoteText"/>
        <w:rPr>
          <w:spacing w:val="-4"/>
        </w:rPr>
      </w:pPr>
      <w:r w:rsidRPr="007115EB">
        <w:rPr>
          <w:rStyle w:val="FootnoteReference"/>
          <w:spacing w:val="-4"/>
        </w:rPr>
        <w:footnoteRef/>
      </w:r>
      <w:r w:rsidRPr="007115EB">
        <w:rPr>
          <w:spacing w:val="-4"/>
        </w:rPr>
        <w:t xml:space="preserve"> Dyrektywa </w:t>
      </w:r>
      <w:r w:rsidRPr="007115EB">
        <w:rPr>
          <w:spacing w:val="-4"/>
        </w:rPr>
        <w:t>Rady 93/42/EWG z dnia 14 czerwca 1993 r. dotycząca wyrobów medycznych (Dz.U. L 169 z 12.7.1993, s. 1).</w:t>
      </w:r>
    </w:p>
  </w:footnote>
  <w:footnote w:id="3">
    <w:p w14:paraId="7B0A379B" w14:textId="77777777" w:rsidR="007104F8" w:rsidRPr="006227D4" w:rsidRDefault="007104F8" w:rsidP="007104F8">
      <w:pPr>
        <w:pStyle w:val="FootnoteText"/>
      </w:pPr>
      <w:r>
        <w:rPr>
          <w:rStyle w:val="FootnoteReference"/>
        </w:rPr>
        <w:footnoteRef/>
      </w:r>
      <w:r>
        <w:t xml:space="preserve"> Rozporządzenie </w:t>
      </w:r>
      <w:r>
        <w:t>Parlamentu Europejskiego i Rady (UE) nr 609/2013 z dnia 12 czerwca 2013 r. w sprawie żywności przeznaczonej dla niemowląt i małych dzieci oraz żywności specjalnego przeznaczenia medycznego i środków spożywczych zastępujących całodzienną dietę, do kontroli masy ciała oraz uchylające dyrektywę Rady 92/52/EWG, dyrektywy Komisji 96/8/WE, 1999/21/WE, 2006/125/WE i 2006/141/WE, dyrektywę Parlamentu Europejskiego i Rady 2009/39/WE oraz rozporządzenia Komisji (WE) nr 41/2009 i (WE) nr 953/2009 (Dz.U. L 181 z 29.6.2013, s.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970"/>
    <w:multiLevelType w:val="hybridMultilevel"/>
    <w:tmpl w:val="580C4724"/>
    <w:lvl w:ilvl="0" w:tplc="F2FC7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3BF9"/>
    <w:multiLevelType w:val="multilevel"/>
    <w:tmpl w:val="CD70D7A0"/>
    <w:lvl w:ilvl="0">
      <w:start w:val="1"/>
      <w:numFmt w:val="decimal"/>
      <w:pStyle w:val="Chapitre"/>
      <w:suff w:val="nothing"/>
      <w:lvlText w:val="Chapitre %1"/>
      <w:lvlJc w:val="left"/>
      <w:pPr>
        <w:ind w:left="360" w:hanging="360"/>
      </w:pPr>
      <w:rPr>
        <w:rFonts w:ascii="Verdana" w:hAnsi="Verdana" w:hint="default"/>
        <w:b/>
        <w:i w:val="0"/>
        <w:sz w:val="20"/>
      </w:rPr>
    </w:lvl>
    <w:lvl w:ilvl="1">
      <w:start w:val="1"/>
      <w:numFmt w:val="decimal"/>
      <w:pStyle w:val="Section"/>
      <w:suff w:val="nothing"/>
      <w:lvlText w:val="Section %2"/>
      <w:lvlJc w:val="left"/>
      <w:pPr>
        <w:ind w:left="3970" w:firstLine="0"/>
      </w:pPr>
      <w:rPr>
        <w:rFonts w:ascii="Verdana" w:hAnsi="Verdana" w:hint="default"/>
        <w:b/>
        <w:i w:val="0"/>
        <w:sz w:val="20"/>
      </w:rPr>
    </w:lvl>
    <w:lvl w:ilvl="2">
      <w:start w:val="1"/>
      <w:numFmt w:val="decimal"/>
      <w:pStyle w:val="Sous-section"/>
      <w:suff w:val="nothing"/>
      <w:lvlText w:val="Sous-section %3"/>
      <w:lvlJc w:val="left"/>
      <w:pPr>
        <w:ind w:left="0" w:firstLine="0"/>
      </w:pPr>
      <w:rPr>
        <w:rFonts w:ascii="Verdana" w:hAnsi="Verdana" w:hint="default"/>
        <w:b/>
        <w:i w:val="0"/>
        <w:sz w:val="20"/>
      </w:rPr>
    </w:lvl>
    <w:lvl w:ilvl="3">
      <w:start w:val="1"/>
      <w:numFmt w:val="decimal"/>
      <w:lvlRestart w:val="0"/>
      <w:pStyle w:val="Article"/>
      <w:suff w:val="nothing"/>
      <w:lvlText w:val="Art. %4"/>
      <w:lvlJc w:val="left"/>
      <w:pPr>
        <w:ind w:left="494" w:firstLine="357"/>
      </w:pPr>
      <w:rPr>
        <w:rFonts w:ascii="Verdana" w:hAnsi="Verdana" w:hint="default"/>
        <w:b/>
        <w:i w:val="0"/>
        <w:sz w:val="20"/>
      </w:rPr>
    </w:lvl>
    <w:lvl w:ilvl="4">
      <w:start w:val="1"/>
      <w:numFmt w:val="decimal"/>
      <w:pStyle w:val="Liste1"/>
      <w:suff w:val="space"/>
      <w:lvlText w:val="(%5)"/>
      <w:lvlJc w:val="left"/>
      <w:pPr>
        <w:ind w:left="0" w:firstLine="357"/>
      </w:pPr>
      <w:rPr>
        <w:rFonts w:ascii="Verdana" w:hAnsi="Verdana" w:hint="default"/>
        <w:sz w:val="20"/>
      </w:rPr>
    </w:lvl>
    <w:lvl w:ilvl="5">
      <w:start w:val="1"/>
      <w:numFmt w:val="decimal"/>
      <w:pStyle w:val="Liste10"/>
      <w:suff w:val="space"/>
      <w:lvlText w:val="%6."/>
      <w:lvlJc w:val="left"/>
      <w:pPr>
        <w:ind w:left="964" w:hanging="25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Listea"/>
      <w:lvlText w:val="%7)"/>
      <w:lvlJc w:val="left"/>
      <w:pPr>
        <w:ind w:left="1276" w:hanging="255"/>
      </w:pPr>
    </w:lvl>
    <w:lvl w:ilvl="7">
      <w:start w:val="1"/>
      <w:numFmt w:val="decimal"/>
      <w:pStyle w:val="Numerotation1"/>
      <w:lvlText w:val="%8."/>
      <w:lvlJc w:val="left"/>
      <w:pPr>
        <w:ind w:left="726" w:hanging="369"/>
      </w:pPr>
      <w:rPr>
        <w:rFonts w:ascii="Verdana" w:hAnsi="Verdana" w:hint="default"/>
        <w:sz w:val="20"/>
      </w:rPr>
    </w:lvl>
    <w:lvl w:ilvl="8">
      <w:start w:val="1"/>
      <w:numFmt w:val="lowerLetter"/>
      <w:pStyle w:val="Numerotationa"/>
      <w:lvlText w:val="%9)"/>
      <w:lvlJc w:val="left"/>
      <w:pPr>
        <w:tabs>
          <w:tab w:val="num" w:pos="1219"/>
        </w:tabs>
        <w:ind w:left="1219" w:hanging="36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F8"/>
    <w:rsid w:val="000C1A12"/>
    <w:rsid w:val="00206537"/>
    <w:rsid w:val="00475004"/>
    <w:rsid w:val="007104F8"/>
    <w:rsid w:val="007115EB"/>
    <w:rsid w:val="00A613C2"/>
    <w:rsid w:val="00F5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4525"/>
  <w15:chartTrackingRefBased/>
  <w15:docId w15:val="{F30502B0-6742-4C99-AB0F-D3E4D25B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7104F8"/>
    <w:rPr>
      <w:rFonts w:ascii="Verdana" w:eastAsia="Calibri" w:hAnsi="Verdana" w:cs="TimesLTStd-Roman"/>
      <w:color w:val="221E1F"/>
      <w:sz w:val="20"/>
      <w:szCs w:val="20"/>
      <w:lang w:val="pl-PL"/>
    </w:rPr>
  </w:style>
  <w:style w:type="paragraph" w:styleId="ListParagraph">
    <w:name w:val="List Paragraph"/>
    <w:basedOn w:val="Normal"/>
    <w:link w:val="ListParagraphChar"/>
    <w:uiPriority w:val="34"/>
    <w:qFormat/>
    <w:rsid w:val="007104F8"/>
    <w:pPr>
      <w:spacing w:before="240" w:after="240" w:line="240" w:lineRule="auto"/>
      <w:ind w:left="720" w:firstLine="357"/>
      <w:contextualSpacing/>
      <w:jc w:val="both"/>
    </w:pPr>
    <w:rPr>
      <w:rFonts w:ascii="Verdana" w:eastAsia="Calibri" w:hAnsi="Verdana" w:cs="TimesLTStd-Roman"/>
      <w:color w:val="221E1F"/>
      <w:sz w:val="20"/>
      <w:szCs w:val="20"/>
    </w:rPr>
  </w:style>
  <w:style w:type="paragraph" w:customStyle="1" w:styleId="Chapitre">
    <w:name w:val="Chapitre"/>
    <w:basedOn w:val="Normal"/>
    <w:qFormat/>
    <w:rsid w:val="007104F8"/>
    <w:pPr>
      <w:numPr>
        <w:numId w:val="1"/>
      </w:numPr>
      <w:spacing w:beforeLines="100" w:after="240" w:line="240" w:lineRule="auto"/>
      <w:ind w:left="720"/>
      <w:jc w:val="center"/>
    </w:pPr>
    <w:rPr>
      <w:rFonts w:ascii="Verdana" w:eastAsia="Calibri" w:hAnsi="Verdana" w:cs="TimesLTStd-Roman"/>
      <w:b/>
      <w:sz w:val="20"/>
      <w:szCs w:val="20"/>
    </w:rPr>
  </w:style>
  <w:style w:type="paragraph" w:customStyle="1" w:styleId="Section">
    <w:name w:val="Section"/>
    <w:basedOn w:val="Normal"/>
    <w:qFormat/>
    <w:rsid w:val="007104F8"/>
    <w:pPr>
      <w:numPr>
        <w:ilvl w:val="1"/>
        <w:numId w:val="1"/>
      </w:numPr>
      <w:spacing w:beforeLines="100" w:after="240" w:line="240" w:lineRule="auto"/>
      <w:jc w:val="center"/>
    </w:pPr>
    <w:rPr>
      <w:rFonts w:ascii="Verdana" w:eastAsia="Calibri" w:hAnsi="Verdana" w:cs="TimesLTStd-Roman"/>
      <w:b/>
      <w:sz w:val="20"/>
      <w:szCs w:val="20"/>
    </w:rPr>
  </w:style>
  <w:style w:type="paragraph" w:customStyle="1" w:styleId="Sous-section">
    <w:name w:val="Sous-section"/>
    <w:basedOn w:val="Normal"/>
    <w:qFormat/>
    <w:rsid w:val="007104F8"/>
    <w:pPr>
      <w:numPr>
        <w:ilvl w:val="2"/>
        <w:numId w:val="1"/>
      </w:numPr>
      <w:spacing w:beforeLines="100" w:after="240" w:line="240" w:lineRule="auto"/>
      <w:jc w:val="center"/>
    </w:pPr>
    <w:rPr>
      <w:rFonts w:ascii="Verdana" w:eastAsia="Calibri" w:hAnsi="Verdana" w:cs="TimesLTStd-Roman"/>
      <w:b/>
      <w:sz w:val="20"/>
      <w:szCs w:val="20"/>
    </w:rPr>
  </w:style>
  <w:style w:type="paragraph" w:customStyle="1" w:styleId="Article">
    <w:name w:val="Article"/>
    <w:basedOn w:val="Normal"/>
    <w:qFormat/>
    <w:rsid w:val="007104F8"/>
    <w:pPr>
      <w:numPr>
        <w:ilvl w:val="3"/>
        <w:numId w:val="1"/>
      </w:numPr>
      <w:spacing w:beforeLines="100" w:after="240" w:line="240" w:lineRule="auto"/>
      <w:jc w:val="both"/>
    </w:pPr>
    <w:rPr>
      <w:rFonts w:ascii="Verdana" w:eastAsia="Calibri" w:hAnsi="Verdana" w:cs="TimesLTStd-Roman"/>
      <w:b/>
      <w:sz w:val="20"/>
      <w:szCs w:val="20"/>
    </w:rPr>
  </w:style>
  <w:style w:type="paragraph" w:customStyle="1" w:styleId="Liste1">
    <w:name w:val="Liste (1)"/>
    <w:basedOn w:val="Normal"/>
    <w:qFormat/>
    <w:rsid w:val="007104F8"/>
    <w:pPr>
      <w:numPr>
        <w:ilvl w:val="4"/>
        <w:numId w:val="1"/>
      </w:numPr>
      <w:spacing w:beforeLines="125" w:after="240" w:line="240" w:lineRule="auto"/>
      <w:jc w:val="both"/>
    </w:pPr>
    <w:rPr>
      <w:rFonts w:ascii="Verdana" w:eastAsia="Calibri" w:hAnsi="Verdana" w:cs="TimesLTStd-Roman"/>
      <w:bCs/>
      <w:color w:val="221E1F"/>
      <w:sz w:val="20"/>
      <w:szCs w:val="20"/>
    </w:rPr>
  </w:style>
  <w:style w:type="paragraph" w:customStyle="1" w:styleId="Liste10">
    <w:name w:val="Liste 1."/>
    <w:basedOn w:val="Normal"/>
    <w:qFormat/>
    <w:rsid w:val="007104F8"/>
    <w:pPr>
      <w:numPr>
        <w:ilvl w:val="5"/>
        <w:numId w:val="1"/>
      </w:numPr>
      <w:spacing w:before="60" w:after="120" w:line="240" w:lineRule="auto"/>
      <w:jc w:val="both"/>
    </w:pPr>
    <w:rPr>
      <w:rFonts w:ascii="Verdana" w:eastAsia="Calibri" w:hAnsi="Verdana" w:cs="TimesLTStd-Roman"/>
      <w:iCs/>
      <w:sz w:val="20"/>
      <w:szCs w:val="20"/>
    </w:rPr>
  </w:style>
  <w:style w:type="paragraph" w:customStyle="1" w:styleId="Listea">
    <w:name w:val="Liste a)"/>
    <w:basedOn w:val="Liste10"/>
    <w:qFormat/>
    <w:rsid w:val="007104F8"/>
    <w:pPr>
      <w:numPr>
        <w:ilvl w:val="6"/>
      </w:numPr>
    </w:pPr>
    <w:rPr>
      <w:lang w:eastAsia="fr-BE"/>
    </w:rPr>
  </w:style>
  <w:style w:type="paragraph" w:customStyle="1" w:styleId="Numerotation1">
    <w:name w:val="Numerotation 1."/>
    <w:basedOn w:val="Liste1"/>
    <w:qFormat/>
    <w:rsid w:val="007104F8"/>
    <w:pPr>
      <w:numPr>
        <w:ilvl w:val="7"/>
      </w:numPr>
      <w:spacing w:beforeLines="0" w:before="120" w:after="120"/>
    </w:pPr>
  </w:style>
  <w:style w:type="paragraph" w:customStyle="1" w:styleId="Numerotationa">
    <w:name w:val="Numerotation a)"/>
    <w:basedOn w:val="Liste10"/>
    <w:qFormat/>
    <w:rsid w:val="007104F8"/>
    <w:pPr>
      <w:numPr>
        <w:ilvl w:val="8"/>
      </w:numPr>
      <w:spacing w:before="240" w:after="240"/>
    </w:pPr>
  </w:style>
  <w:style w:type="paragraph" w:styleId="NormalWeb">
    <w:name w:val="Normal (Web)"/>
    <w:basedOn w:val="Normal"/>
    <w:uiPriority w:val="99"/>
    <w:semiHidden/>
    <w:unhideWhenUsed/>
    <w:rsid w:val="007104F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10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4F8"/>
    <w:rPr>
      <w:sz w:val="20"/>
      <w:szCs w:val="20"/>
    </w:rPr>
  </w:style>
  <w:style w:type="character" w:styleId="FootnoteReference">
    <w:name w:val="footnote reference"/>
    <w:basedOn w:val="DefaultParagraphFont"/>
    <w:uiPriority w:val="99"/>
    <w:semiHidden/>
    <w:unhideWhenUsed/>
    <w:rsid w:val="00710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4130</Words>
  <Characters>23546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3</cp:revision>
  <dcterms:created xsi:type="dcterms:W3CDTF">2020-07-29T07:14:00Z</dcterms:created>
  <dcterms:modified xsi:type="dcterms:W3CDTF">2020-08-13T07:38:00Z</dcterms:modified>
</cp:coreProperties>
</file>