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9CF1E" w14:textId="19739385" w:rsidR="00B0605C" w:rsidRPr="00E1782E" w:rsidRDefault="00B54FBB" w:rsidP="00F62F98">
      <w:pPr>
        <w:pStyle w:val="Title"/>
        <w:jc w:val="center"/>
        <w:rPr>
          <w:rFonts w:asciiTheme="minorHAnsi" w:hAnsiTheme="minorHAnsi"/>
          <w:sz w:val="36"/>
        </w:rPr>
      </w:pPr>
      <w:r>
        <w:rPr>
          <w:rFonts w:asciiTheme="minorHAnsi" w:hAnsiTheme="minorHAnsi"/>
          <w:sz w:val="36"/>
        </w:rPr>
        <w:t>European Commission</w:t>
      </w:r>
      <w:r w:rsidR="00DD574A">
        <w:rPr>
          <w:rFonts w:asciiTheme="minorHAnsi" w:hAnsiTheme="minorHAnsi"/>
          <w:sz w:val="36"/>
        </w:rPr>
        <w:t xml:space="preserve"> – </w:t>
      </w:r>
      <w:r>
        <w:rPr>
          <w:rFonts w:asciiTheme="minorHAnsi" w:hAnsiTheme="minorHAnsi"/>
          <w:sz w:val="36"/>
        </w:rPr>
        <w:t>Irish Public Health (Alcohol) Bill 2015</w:t>
      </w:r>
    </w:p>
    <w:p w14:paraId="31CB8A17" w14:textId="77777777" w:rsidR="002D2404" w:rsidRPr="00E1782E" w:rsidRDefault="00DD574A" w:rsidP="00F62F98">
      <w:pPr>
        <w:pStyle w:val="Title"/>
        <w:jc w:val="center"/>
        <w:rPr>
          <w:rFonts w:asciiTheme="minorHAnsi" w:hAnsiTheme="minorHAnsi"/>
          <w:sz w:val="36"/>
        </w:rPr>
      </w:pPr>
      <w:r>
        <w:rPr>
          <w:rFonts w:asciiTheme="minorHAnsi" w:hAnsiTheme="minorHAnsi"/>
          <w:sz w:val="36"/>
        </w:rPr>
        <w:t xml:space="preserve">Written evidence from </w:t>
      </w:r>
      <w:r w:rsidR="002D2404" w:rsidRPr="00E1782E">
        <w:rPr>
          <w:rFonts w:asciiTheme="minorHAnsi" w:hAnsiTheme="minorHAnsi"/>
          <w:sz w:val="36"/>
        </w:rPr>
        <w:t xml:space="preserve">Cancer Research UK </w:t>
      </w:r>
    </w:p>
    <w:p w14:paraId="687D662D" w14:textId="77777777" w:rsidR="00F62F98" w:rsidRPr="00E1782E" w:rsidRDefault="00F62F98" w:rsidP="00A9519E">
      <w:pPr>
        <w:spacing w:after="0" w:line="276" w:lineRule="auto"/>
        <w:contextualSpacing/>
        <w:rPr>
          <w:b/>
        </w:rPr>
      </w:pPr>
    </w:p>
    <w:p w14:paraId="2DC5B3AD" w14:textId="77777777" w:rsidR="00C87AB0" w:rsidRDefault="003623CC" w:rsidP="00A9519E">
      <w:pPr>
        <w:spacing w:after="0" w:line="276" w:lineRule="auto"/>
        <w:contextualSpacing/>
        <w:rPr>
          <w:rFonts w:cstheme="minorHAnsi"/>
          <w:b/>
        </w:rPr>
      </w:pPr>
      <w:r w:rsidRPr="00E1782E">
        <w:rPr>
          <w:rFonts w:cstheme="minorHAnsi"/>
          <w:b/>
        </w:rPr>
        <w:t>About Cancer Research UK</w:t>
      </w:r>
      <w:r w:rsidR="00C87AB0" w:rsidRPr="00E1782E">
        <w:rPr>
          <w:rStyle w:val="EndnoteReference"/>
          <w:rFonts w:cstheme="minorHAnsi"/>
          <w:b/>
        </w:rPr>
        <w:endnoteReference w:id="1"/>
      </w:r>
    </w:p>
    <w:p w14:paraId="148AB9D5" w14:textId="77777777" w:rsidR="00D80FE6" w:rsidRPr="00E1782E" w:rsidRDefault="00D80FE6" w:rsidP="00A9519E">
      <w:pPr>
        <w:spacing w:after="0" w:line="276" w:lineRule="auto"/>
        <w:contextualSpacing/>
        <w:rPr>
          <w:rFonts w:cstheme="minorHAnsi"/>
          <w:b/>
        </w:rPr>
      </w:pPr>
    </w:p>
    <w:p w14:paraId="1B3FF412" w14:textId="77777777" w:rsidR="00A772B4" w:rsidRDefault="009B7E77" w:rsidP="00A9519E">
      <w:pPr>
        <w:pStyle w:val="ListParagraph"/>
        <w:numPr>
          <w:ilvl w:val="0"/>
          <w:numId w:val="31"/>
        </w:numPr>
        <w:spacing w:after="0" w:line="276" w:lineRule="auto"/>
        <w:jc w:val="both"/>
      </w:pPr>
      <w:bookmarkStart w:id="0" w:name="_Hlk503876622"/>
      <w:r w:rsidRPr="00EA6C79">
        <w:rPr>
          <w:rFonts w:cstheme="minorHAnsi"/>
        </w:rPr>
        <w:t xml:space="preserve">Cancer Research UK is the world’s leading cancer charity dedicated to saving lives through research. The charity’s pioneering work has been at the heart of the progress that has already seen survival rates in the UK double in the last forty years. </w:t>
      </w:r>
      <w:r>
        <w:t>In 2015/16</w:t>
      </w:r>
      <w:r w:rsidRPr="00E1782E">
        <w:t xml:space="preserve">, we spent £432 million on research in institutes, hospitals and universities across the UK, funding over 4,000 researchers, clinicians and nurses. </w:t>
      </w:r>
      <w:r w:rsidRPr="00EA6C79">
        <w:rPr>
          <w:rFonts w:cstheme="minorHAnsi"/>
        </w:rPr>
        <w:t>We receive no funding from the Government for our research</w:t>
      </w:r>
      <w:r w:rsidR="00EB351C">
        <w:rPr>
          <w:rFonts w:cstheme="minorHAnsi"/>
        </w:rPr>
        <w:t xml:space="preserve">. </w:t>
      </w:r>
      <w:r w:rsidR="00EB351C">
        <w:t xml:space="preserve">Our ambition is </w:t>
      </w:r>
      <w:r w:rsidRPr="00E1782E">
        <w:t xml:space="preserve">to see three in four patients survive cancer by 2034. </w:t>
      </w:r>
      <w:bookmarkEnd w:id="0"/>
    </w:p>
    <w:p w14:paraId="3158BCF9" w14:textId="77777777" w:rsidR="00A772B4" w:rsidRDefault="00A772B4" w:rsidP="00A772B4">
      <w:pPr>
        <w:pStyle w:val="ListParagraph"/>
        <w:spacing w:after="0" w:line="276" w:lineRule="auto"/>
        <w:jc w:val="both"/>
      </w:pPr>
    </w:p>
    <w:p w14:paraId="1EC995E7" w14:textId="1FB64FF2" w:rsidR="00A772B4" w:rsidRPr="00A772B4" w:rsidRDefault="00A772B4" w:rsidP="00A9519E">
      <w:pPr>
        <w:pStyle w:val="ListParagraph"/>
        <w:numPr>
          <w:ilvl w:val="0"/>
          <w:numId w:val="31"/>
        </w:numPr>
        <w:spacing w:after="0" w:line="276" w:lineRule="auto"/>
        <w:jc w:val="both"/>
      </w:pPr>
      <w:r w:rsidRPr="00A772B4">
        <w:rPr>
          <w:rFonts w:cstheme="minorHAnsi"/>
        </w:rPr>
        <w:t xml:space="preserve">The charity’s in-house </w:t>
      </w:r>
      <w:r w:rsidR="00B54FBB">
        <w:rPr>
          <w:rFonts w:cstheme="minorHAnsi"/>
        </w:rPr>
        <w:t>Cancer Policy Research Centre (CPRC)</w:t>
      </w:r>
      <w:r w:rsidRPr="00A772B4">
        <w:rPr>
          <w:rFonts w:cstheme="minorHAnsi"/>
        </w:rPr>
        <w:t xml:space="preserve"> undertakes research that can be translated into cancer prevention policy recommendations. The centre has published several studies identifying effective measures for preventing not only cancer, but also other alcohol</w:t>
      </w:r>
      <w:r>
        <w:rPr>
          <w:rFonts w:cstheme="minorHAnsi"/>
        </w:rPr>
        <w:t xml:space="preserve"> attributable harms to society.</w:t>
      </w:r>
    </w:p>
    <w:p w14:paraId="1175B40B" w14:textId="77777777" w:rsidR="00A772B4" w:rsidRDefault="00A772B4" w:rsidP="00A9519E">
      <w:pPr>
        <w:spacing w:after="0" w:line="276" w:lineRule="auto"/>
        <w:contextualSpacing/>
        <w:jc w:val="both"/>
        <w:rPr>
          <w:rFonts w:cstheme="minorHAnsi"/>
        </w:rPr>
      </w:pPr>
    </w:p>
    <w:p w14:paraId="33953C18" w14:textId="428F607F" w:rsidR="00E1782E" w:rsidRDefault="004D31B8" w:rsidP="00A9519E">
      <w:pPr>
        <w:spacing w:after="0" w:line="276" w:lineRule="auto"/>
        <w:contextualSpacing/>
        <w:jc w:val="both"/>
      </w:pPr>
      <w:r>
        <w:rPr>
          <w:rFonts w:cstheme="minorHAnsi"/>
          <w:b/>
        </w:rPr>
        <w:t>Introduction</w:t>
      </w:r>
    </w:p>
    <w:p w14:paraId="7F2F2993" w14:textId="77777777" w:rsidR="00D80FE6" w:rsidRDefault="00D80FE6" w:rsidP="00A9519E">
      <w:pPr>
        <w:spacing w:after="0" w:line="276" w:lineRule="auto"/>
        <w:contextualSpacing/>
        <w:jc w:val="both"/>
      </w:pPr>
    </w:p>
    <w:p w14:paraId="554368B8" w14:textId="771A25E5" w:rsidR="004D31B8" w:rsidRDefault="00C8164E" w:rsidP="00513C56">
      <w:pPr>
        <w:pStyle w:val="ListParagraph"/>
        <w:numPr>
          <w:ilvl w:val="0"/>
          <w:numId w:val="31"/>
        </w:numPr>
        <w:spacing w:after="0" w:line="276" w:lineRule="auto"/>
        <w:jc w:val="both"/>
        <w:rPr>
          <w:rFonts w:cstheme="minorHAnsi"/>
        </w:rPr>
      </w:pPr>
      <w:r w:rsidRPr="00EA6C79">
        <w:rPr>
          <w:rFonts w:cstheme="minorHAnsi"/>
        </w:rPr>
        <w:t xml:space="preserve">We welcome </w:t>
      </w:r>
      <w:r w:rsidR="00187407">
        <w:rPr>
          <w:rFonts w:cstheme="minorHAnsi"/>
        </w:rPr>
        <w:t xml:space="preserve">the opportunity to </w:t>
      </w:r>
      <w:r w:rsidR="00025346">
        <w:rPr>
          <w:rFonts w:cstheme="minorHAnsi"/>
        </w:rPr>
        <w:t>submit written</w:t>
      </w:r>
      <w:r w:rsidR="00187407">
        <w:rPr>
          <w:rFonts w:cstheme="minorHAnsi"/>
        </w:rPr>
        <w:t xml:space="preserve"> evidence to </w:t>
      </w:r>
      <w:r w:rsidR="00B54FBB">
        <w:rPr>
          <w:rFonts w:cstheme="minorHAnsi"/>
        </w:rPr>
        <w:t xml:space="preserve">the European Commission’s consultation on </w:t>
      </w:r>
      <w:r w:rsidR="00053A9F">
        <w:rPr>
          <w:rFonts w:cstheme="minorHAnsi"/>
        </w:rPr>
        <w:t xml:space="preserve">the </w:t>
      </w:r>
      <w:r w:rsidR="00B54FBB">
        <w:rPr>
          <w:rFonts w:cstheme="minorHAnsi"/>
        </w:rPr>
        <w:t xml:space="preserve">Republic of Ireland’s Public Health (Alcohol) Bill 2015, </w:t>
      </w:r>
      <w:r w:rsidR="000E3A52">
        <w:rPr>
          <w:rFonts w:cstheme="minorHAnsi"/>
        </w:rPr>
        <w:t>which explores provisions</w:t>
      </w:r>
      <w:r w:rsidR="007B553D">
        <w:rPr>
          <w:rFonts w:cstheme="minorHAnsi"/>
        </w:rPr>
        <w:t xml:space="preserve"> within the Bill</w:t>
      </w:r>
      <w:r w:rsidR="00B54FBB">
        <w:rPr>
          <w:rFonts w:cstheme="minorHAnsi"/>
        </w:rPr>
        <w:t xml:space="preserve"> relating to labelling, advertising and </w:t>
      </w:r>
      <w:r w:rsidR="00956257">
        <w:rPr>
          <w:rFonts w:cstheme="minorHAnsi"/>
        </w:rPr>
        <w:t xml:space="preserve">a </w:t>
      </w:r>
      <w:r w:rsidR="00B54FBB">
        <w:rPr>
          <w:rFonts w:cstheme="minorHAnsi"/>
        </w:rPr>
        <w:t>broadcast watershed.</w:t>
      </w:r>
    </w:p>
    <w:p w14:paraId="05D4888F" w14:textId="77777777" w:rsidR="004D31B8" w:rsidRDefault="004D31B8" w:rsidP="004D31B8">
      <w:pPr>
        <w:pStyle w:val="ListParagraph"/>
        <w:spacing w:after="0" w:line="276" w:lineRule="auto"/>
        <w:jc w:val="both"/>
        <w:rPr>
          <w:rFonts w:cstheme="minorHAnsi"/>
        </w:rPr>
      </w:pPr>
    </w:p>
    <w:p w14:paraId="4ACDD64B" w14:textId="2210CE8C" w:rsidR="00956257" w:rsidRDefault="00956257" w:rsidP="00513C56">
      <w:pPr>
        <w:pStyle w:val="ListParagraph"/>
        <w:numPr>
          <w:ilvl w:val="0"/>
          <w:numId w:val="31"/>
        </w:numPr>
        <w:spacing w:after="0" w:line="276" w:lineRule="auto"/>
        <w:jc w:val="both"/>
        <w:rPr>
          <w:rFonts w:cstheme="minorHAnsi"/>
        </w:rPr>
      </w:pPr>
      <w:r>
        <w:rPr>
          <w:rFonts w:cstheme="minorHAnsi"/>
        </w:rPr>
        <w:t xml:space="preserve">We believe that </w:t>
      </w:r>
      <w:r w:rsidR="000E3A52">
        <w:rPr>
          <w:rFonts w:cstheme="minorHAnsi"/>
        </w:rPr>
        <w:t>Republic of Ireland’s Public Health (Alcohol) Bill 2015</w:t>
      </w:r>
      <w:r w:rsidR="000E3A52">
        <w:rPr>
          <w:rFonts w:cstheme="minorHAnsi"/>
        </w:rPr>
        <w:t xml:space="preserve"> is</w:t>
      </w:r>
      <w:r w:rsidR="00B54FBB">
        <w:rPr>
          <w:rFonts w:cstheme="minorHAnsi"/>
        </w:rPr>
        <w:t xml:space="preserve"> progressive </w:t>
      </w:r>
      <w:r w:rsidR="000E3A52">
        <w:rPr>
          <w:rFonts w:cstheme="minorHAnsi"/>
        </w:rPr>
        <w:t xml:space="preserve">legislation that </w:t>
      </w:r>
      <w:r w:rsidR="00053A9F">
        <w:rPr>
          <w:rFonts w:cstheme="minorHAnsi"/>
        </w:rPr>
        <w:t>contains</w:t>
      </w:r>
      <w:r w:rsidR="000E3A52">
        <w:rPr>
          <w:rFonts w:cstheme="minorHAnsi"/>
        </w:rPr>
        <w:t xml:space="preserve"> </w:t>
      </w:r>
      <w:r w:rsidR="00740995">
        <w:rPr>
          <w:rFonts w:cstheme="minorHAnsi"/>
        </w:rPr>
        <w:t>positive</w:t>
      </w:r>
      <w:r w:rsidR="000E3A52">
        <w:rPr>
          <w:rFonts w:cstheme="minorHAnsi"/>
        </w:rPr>
        <w:t xml:space="preserve"> </w:t>
      </w:r>
      <w:r w:rsidR="00B54FBB">
        <w:rPr>
          <w:rFonts w:cstheme="minorHAnsi"/>
        </w:rPr>
        <w:t xml:space="preserve">steps to </w:t>
      </w:r>
      <w:r w:rsidR="00053A9F">
        <w:rPr>
          <w:rFonts w:cstheme="minorHAnsi"/>
        </w:rPr>
        <w:t>make clear</w:t>
      </w:r>
      <w:r>
        <w:rPr>
          <w:rFonts w:cstheme="minorHAnsi"/>
        </w:rPr>
        <w:t xml:space="preserve"> the direct link between alcohol consumption and fatal cancers to the public. </w:t>
      </w:r>
      <w:r w:rsidR="00740995">
        <w:rPr>
          <w:rFonts w:cstheme="minorHAnsi"/>
        </w:rPr>
        <w:t xml:space="preserve">The evidence base clearly supports this link, and it is important that the public is aware of this so they can make </w:t>
      </w:r>
      <w:r w:rsidR="00B9374B">
        <w:rPr>
          <w:rFonts w:cstheme="minorHAnsi"/>
        </w:rPr>
        <w:t xml:space="preserve">informed </w:t>
      </w:r>
      <w:r w:rsidR="00740995">
        <w:rPr>
          <w:rFonts w:cstheme="minorHAnsi"/>
        </w:rPr>
        <w:t>choice</w:t>
      </w:r>
      <w:r w:rsidR="00053A9F">
        <w:rPr>
          <w:rFonts w:cstheme="minorHAnsi"/>
        </w:rPr>
        <w:t>s</w:t>
      </w:r>
      <w:r w:rsidR="00740995">
        <w:rPr>
          <w:rFonts w:cstheme="minorHAnsi"/>
        </w:rPr>
        <w:t xml:space="preserve"> about what they consume.</w:t>
      </w:r>
      <w:r>
        <w:rPr>
          <w:rFonts w:cstheme="minorHAnsi"/>
        </w:rPr>
        <w:t xml:space="preserve">  </w:t>
      </w:r>
    </w:p>
    <w:p w14:paraId="0AD8E904" w14:textId="6170EBE6" w:rsidR="00DF72A4" w:rsidRDefault="00DF72A4" w:rsidP="004D31B8">
      <w:pPr>
        <w:spacing w:after="0" w:line="276" w:lineRule="auto"/>
        <w:jc w:val="both"/>
        <w:rPr>
          <w:rFonts w:cstheme="minorHAnsi"/>
        </w:rPr>
      </w:pPr>
    </w:p>
    <w:p w14:paraId="79AD9B9E" w14:textId="30DE4A67" w:rsidR="004D31B8" w:rsidRPr="004D31B8" w:rsidRDefault="00956257" w:rsidP="004D31B8">
      <w:pPr>
        <w:spacing w:after="0" w:line="276" w:lineRule="auto"/>
        <w:jc w:val="both"/>
        <w:rPr>
          <w:rFonts w:cstheme="minorHAnsi"/>
          <w:b/>
        </w:rPr>
      </w:pPr>
      <w:r>
        <w:rPr>
          <w:rFonts w:cstheme="minorHAnsi"/>
          <w:b/>
        </w:rPr>
        <w:t>Link between alcohol and cancer</w:t>
      </w:r>
    </w:p>
    <w:p w14:paraId="2234ECBC" w14:textId="25EEB588" w:rsidR="004D31B8" w:rsidRPr="004D31B8" w:rsidRDefault="004D31B8" w:rsidP="004D31B8">
      <w:pPr>
        <w:spacing w:after="0" w:line="276" w:lineRule="auto"/>
        <w:jc w:val="both"/>
        <w:rPr>
          <w:rFonts w:cstheme="minorHAnsi"/>
          <w:i/>
        </w:rPr>
      </w:pPr>
    </w:p>
    <w:p w14:paraId="3B3F2B48" w14:textId="13DDABC9" w:rsidR="004D31B8" w:rsidRPr="003A40DF" w:rsidRDefault="004D31B8" w:rsidP="00513C56">
      <w:pPr>
        <w:pStyle w:val="ListParagraph"/>
        <w:numPr>
          <w:ilvl w:val="0"/>
          <w:numId w:val="31"/>
        </w:numPr>
        <w:spacing w:after="0" w:line="276" w:lineRule="auto"/>
        <w:jc w:val="both"/>
        <w:rPr>
          <w:rFonts w:cstheme="minorHAnsi"/>
          <w:b/>
        </w:rPr>
      </w:pPr>
      <w:r w:rsidRPr="00EA6C79">
        <w:rPr>
          <w:rFonts w:cstheme="minorHAnsi"/>
        </w:rPr>
        <w:t xml:space="preserve">Alcohol </w:t>
      </w:r>
      <w:r>
        <w:rPr>
          <w:rFonts w:cstheme="minorHAnsi"/>
        </w:rPr>
        <w:t>is a major risk factor for cancer</w:t>
      </w:r>
      <w:r w:rsidR="00956257">
        <w:rPr>
          <w:rFonts w:cstheme="minorHAnsi"/>
        </w:rPr>
        <w:t xml:space="preserve">. It has </w:t>
      </w:r>
      <w:r>
        <w:rPr>
          <w:rFonts w:cstheme="minorHAnsi"/>
        </w:rPr>
        <w:t xml:space="preserve">been </w:t>
      </w:r>
      <w:r w:rsidRPr="00EA6C79">
        <w:rPr>
          <w:rFonts w:cstheme="minorHAnsi"/>
        </w:rPr>
        <w:t xml:space="preserve">classified </w:t>
      </w:r>
      <w:r>
        <w:rPr>
          <w:rFonts w:cstheme="minorHAnsi"/>
        </w:rPr>
        <w:t>by t</w:t>
      </w:r>
      <w:r w:rsidRPr="00EA6C79">
        <w:rPr>
          <w:rFonts w:cstheme="minorHAnsi"/>
        </w:rPr>
        <w:t xml:space="preserve">he International Agency for Research into Cancer (IARC; part of the World Health Organisation) </w:t>
      </w:r>
      <w:r w:rsidR="000E3A52" w:rsidRPr="000E3A52">
        <w:rPr>
          <w:rFonts w:cstheme="minorHAnsi"/>
        </w:rPr>
        <w:t>as a Group 1 carcinogen since 1988.</w:t>
      </w:r>
      <w:r w:rsidR="000E3A52">
        <w:rPr>
          <w:rStyle w:val="EndnoteReference"/>
          <w:rFonts w:cstheme="minorHAnsi"/>
        </w:rPr>
        <w:endnoteReference w:id="2"/>
      </w:r>
      <w:r w:rsidR="000E3A52">
        <w:rPr>
          <w:rFonts w:cstheme="minorHAnsi"/>
        </w:rPr>
        <w:t xml:space="preserve"> </w:t>
      </w:r>
      <w:r w:rsidR="000E3A52">
        <w:rPr>
          <w:rStyle w:val="EndnoteReference"/>
          <w:rFonts w:cstheme="minorHAnsi"/>
        </w:rPr>
        <w:endnoteReference w:id="3"/>
      </w:r>
      <w:r w:rsidR="000E3A52" w:rsidRPr="000E3A52">
        <w:rPr>
          <w:rFonts w:cstheme="minorHAnsi"/>
        </w:rPr>
        <w:t xml:space="preserve"> IARC's rulings are the gold standard in terms of determining if something causes cancer, and Group 1 is t</w:t>
      </w:r>
      <w:r w:rsidR="00B9374B">
        <w:rPr>
          <w:rFonts w:cstheme="minorHAnsi"/>
        </w:rPr>
        <w:t xml:space="preserve">heir highest risk category. This </w:t>
      </w:r>
      <w:r w:rsidR="000E3A52" w:rsidRPr="000E3A52">
        <w:rPr>
          <w:rFonts w:cstheme="minorHAnsi"/>
        </w:rPr>
        <w:t>means that there is convincing evidence that alcohol causes cancer in humans. More recent reviews by IARC and other agencies have also concluded that drinking alcohol causes cancer.</w:t>
      </w:r>
      <w:r w:rsidR="003A40DF">
        <w:rPr>
          <w:rStyle w:val="EndnoteReference"/>
          <w:rFonts w:cstheme="minorHAnsi"/>
        </w:rPr>
        <w:endnoteReference w:id="4"/>
      </w:r>
      <w:r w:rsidR="003A40DF">
        <w:rPr>
          <w:rFonts w:cstheme="minorHAnsi"/>
        </w:rPr>
        <w:t xml:space="preserve"> </w:t>
      </w:r>
      <w:r w:rsidR="003A40DF">
        <w:rPr>
          <w:rStyle w:val="EndnoteReference"/>
          <w:rFonts w:cstheme="minorHAnsi"/>
        </w:rPr>
        <w:endnoteReference w:id="5"/>
      </w:r>
      <w:r w:rsidR="003A40DF">
        <w:rPr>
          <w:rFonts w:cstheme="minorHAnsi"/>
        </w:rPr>
        <w:t xml:space="preserve"> </w:t>
      </w:r>
      <w:r w:rsidR="003A40DF">
        <w:rPr>
          <w:rStyle w:val="EndnoteReference"/>
          <w:rFonts w:cstheme="minorHAnsi"/>
        </w:rPr>
        <w:endnoteReference w:id="6"/>
      </w:r>
      <w:r w:rsidR="003A40DF">
        <w:rPr>
          <w:rFonts w:cstheme="minorHAnsi"/>
        </w:rPr>
        <w:t xml:space="preserve"> </w:t>
      </w:r>
      <w:r w:rsidR="003A40DF">
        <w:rPr>
          <w:rStyle w:val="EndnoteReference"/>
          <w:rFonts w:cstheme="minorHAnsi"/>
        </w:rPr>
        <w:endnoteReference w:id="7"/>
      </w:r>
    </w:p>
    <w:p w14:paraId="10B7F447" w14:textId="77777777" w:rsidR="003A40DF" w:rsidRPr="000E3A52" w:rsidRDefault="003A40DF" w:rsidP="003A40DF">
      <w:pPr>
        <w:pStyle w:val="ListParagraph"/>
        <w:spacing w:after="0" w:line="276" w:lineRule="auto"/>
        <w:jc w:val="both"/>
        <w:rPr>
          <w:rFonts w:cstheme="minorHAnsi"/>
          <w:b/>
        </w:rPr>
      </w:pPr>
    </w:p>
    <w:p w14:paraId="52774EAA" w14:textId="77777777" w:rsidR="003A40DF" w:rsidRDefault="003A40DF" w:rsidP="003A40DF">
      <w:pPr>
        <w:pStyle w:val="ListParagraph"/>
        <w:numPr>
          <w:ilvl w:val="0"/>
          <w:numId w:val="31"/>
        </w:numPr>
        <w:spacing w:after="0" w:line="276" w:lineRule="auto"/>
        <w:jc w:val="both"/>
        <w:rPr>
          <w:rFonts w:cstheme="minorHAnsi"/>
        </w:rPr>
      </w:pPr>
      <w:r w:rsidRPr="003A40DF">
        <w:rPr>
          <w:rFonts w:cstheme="minorHAnsi"/>
        </w:rPr>
        <w:t>A study published in 2018 found that drinking too much alcohol causes 3% of cancer cases in the UK, around 11,900 cases each year.</w:t>
      </w:r>
      <w:r>
        <w:rPr>
          <w:rStyle w:val="EndnoteReference"/>
          <w:rFonts w:cstheme="minorHAnsi"/>
        </w:rPr>
        <w:endnoteReference w:id="8"/>
      </w:r>
      <w:r>
        <w:rPr>
          <w:rFonts w:cstheme="minorHAnsi"/>
        </w:rPr>
        <w:t xml:space="preserve"> </w:t>
      </w:r>
      <w:r>
        <w:rPr>
          <w:rStyle w:val="EndnoteReference"/>
          <w:rFonts w:cstheme="minorHAnsi"/>
        </w:rPr>
        <w:endnoteReference w:id="9"/>
      </w:r>
      <w:r w:rsidRPr="003A40DF">
        <w:rPr>
          <w:rFonts w:cstheme="minorHAnsi"/>
        </w:rPr>
        <w:t xml:space="preserve"> The proportion of cases down to alcohol was highest for mouth and upper throat (pharynx) cancers (more than a third), but breast cancer accounted for the greatest overall number of cases linked to alcohol (around 4,400 cases each year).</w:t>
      </w:r>
      <w:r>
        <w:rPr>
          <w:rStyle w:val="EndnoteReference"/>
          <w:rFonts w:cstheme="minorHAnsi"/>
        </w:rPr>
        <w:endnoteReference w:id="10"/>
      </w:r>
    </w:p>
    <w:p w14:paraId="26D5F95C" w14:textId="77777777" w:rsidR="003A40DF" w:rsidRPr="003A40DF" w:rsidRDefault="003A40DF" w:rsidP="003A40DF">
      <w:pPr>
        <w:pStyle w:val="ListParagraph"/>
        <w:rPr>
          <w:rFonts w:cstheme="minorHAnsi"/>
        </w:rPr>
      </w:pPr>
    </w:p>
    <w:p w14:paraId="15A98A4B" w14:textId="20BAE89C" w:rsidR="003A40DF" w:rsidRPr="00053A9F" w:rsidRDefault="003A40DF" w:rsidP="00053A9F">
      <w:pPr>
        <w:pStyle w:val="ListParagraph"/>
        <w:numPr>
          <w:ilvl w:val="0"/>
          <w:numId w:val="31"/>
        </w:numPr>
        <w:spacing w:after="0" w:line="276" w:lineRule="auto"/>
        <w:jc w:val="both"/>
        <w:rPr>
          <w:rFonts w:cstheme="minorHAnsi"/>
        </w:rPr>
      </w:pPr>
      <w:r w:rsidRPr="003A40DF">
        <w:rPr>
          <w:rFonts w:cstheme="minorHAnsi"/>
        </w:rPr>
        <w:lastRenderedPageBreak/>
        <w:t>The risk of alcohol-related cancers increases the more you drink.</w:t>
      </w:r>
      <w:r w:rsidR="00740995">
        <w:rPr>
          <w:rStyle w:val="EndnoteReference"/>
          <w:rFonts w:cstheme="minorHAnsi"/>
        </w:rPr>
        <w:endnoteReference w:id="11"/>
      </w:r>
      <w:r w:rsidR="00740995">
        <w:rPr>
          <w:rFonts w:cstheme="minorHAnsi"/>
        </w:rPr>
        <w:t xml:space="preserve"> </w:t>
      </w:r>
      <w:r w:rsidRPr="003A40DF">
        <w:rPr>
          <w:rFonts w:cstheme="minorHAnsi"/>
        </w:rPr>
        <w:t>So by cutting down on what you drink, you could reduce the risk of these cancers.</w:t>
      </w:r>
      <w:r w:rsidR="00053A9F">
        <w:rPr>
          <w:rFonts w:cstheme="minorHAnsi"/>
        </w:rPr>
        <w:t xml:space="preserve"> It is never too late for moderate or heavy drinkers to reduce their consumption</w:t>
      </w:r>
      <w:r w:rsidR="00B9374B">
        <w:rPr>
          <w:rFonts w:cstheme="minorHAnsi"/>
        </w:rPr>
        <w:t>.</w:t>
      </w:r>
      <w:bookmarkStart w:id="2" w:name="_GoBack"/>
      <w:bookmarkEnd w:id="2"/>
      <w:r w:rsidR="00053A9F">
        <w:rPr>
          <w:rFonts w:cstheme="minorHAnsi"/>
        </w:rPr>
        <w:t xml:space="preserve"> </w:t>
      </w:r>
      <w:r w:rsidR="00053A9F" w:rsidRPr="00053A9F">
        <w:rPr>
          <w:rFonts w:cstheme="minorHAnsi"/>
        </w:rPr>
        <w:t>Evidence suggests that</w:t>
      </w:r>
      <w:r w:rsidRPr="00053A9F">
        <w:rPr>
          <w:rFonts w:cstheme="minorHAnsi"/>
        </w:rPr>
        <w:t xml:space="preserve"> the risk of mouth, throat and oesophageal (food pipe) cancers reduces over time in people who have given up drinking, compared to those who continue.</w:t>
      </w:r>
      <w:r w:rsidR="00740995">
        <w:rPr>
          <w:rStyle w:val="EndnoteReference"/>
          <w:rFonts w:cstheme="minorHAnsi"/>
        </w:rPr>
        <w:endnoteReference w:id="12"/>
      </w:r>
      <w:r w:rsidR="00740995" w:rsidRPr="00053A9F">
        <w:rPr>
          <w:rFonts w:cstheme="minorHAnsi"/>
        </w:rPr>
        <w:t xml:space="preserve"> </w:t>
      </w:r>
      <w:r w:rsidR="00740995">
        <w:rPr>
          <w:rStyle w:val="EndnoteReference"/>
          <w:rFonts w:cstheme="minorHAnsi"/>
        </w:rPr>
        <w:endnoteReference w:id="13"/>
      </w:r>
    </w:p>
    <w:p w14:paraId="603180E1" w14:textId="435AFFBA" w:rsidR="003A40DF" w:rsidRDefault="003A40DF" w:rsidP="007D7A5D">
      <w:pPr>
        <w:spacing w:after="0" w:line="276" w:lineRule="auto"/>
        <w:jc w:val="both"/>
        <w:rPr>
          <w:rFonts w:cstheme="minorHAnsi"/>
          <w:b/>
        </w:rPr>
      </w:pPr>
    </w:p>
    <w:p w14:paraId="1511676D" w14:textId="15B8612E" w:rsidR="00740995" w:rsidRDefault="00740995" w:rsidP="007D7A5D">
      <w:pPr>
        <w:spacing w:after="0" w:line="276" w:lineRule="auto"/>
        <w:jc w:val="both"/>
        <w:rPr>
          <w:rFonts w:cstheme="minorHAnsi"/>
          <w:b/>
        </w:rPr>
      </w:pPr>
      <w:r>
        <w:rPr>
          <w:rFonts w:cstheme="minorHAnsi"/>
          <w:b/>
        </w:rPr>
        <w:t>Impact of excessive alcohol consumption</w:t>
      </w:r>
    </w:p>
    <w:p w14:paraId="0E57BD43" w14:textId="77777777" w:rsidR="00740995" w:rsidRDefault="00740995" w:rsidP="007D7A5D">
      <w:pPr>
        <w:spacing w:after="0" w:line="276" w:lineRule="auto"/>
        <w:jc w:val="both"/>
        <w:rPr>
          <w:rFonts w:cstheme="minorHAnsi"/>
          <w:b/>
        </w:rPr>
      </w:pPr>
    </w:p>
    <w:p w14:paraId="0FA278AD" w14:textId="47038D49" w:rsidR="007D7A5D" w:rsidRPr="007D7A5D" w:rsidRDefault="007D7A5D" w:rsidP="007D7A5D">
      <w:pPr>
        <w:pStyle w:val="ListParagraph"/>
        <w:numPr>
          <w:ilvl w:val="0"/>
          <w:numId w:val="31"/>
        </w:numPr>
        <w:spacing w:after="0" w:line="276" w:lineRule="auto"/>
        <w:jc w:val="both"/>
        <w:rPr>
          <w:rFonts w:cstheme="minorHAnsi"/>
          <w:b/>
        </w:rPr>
      </w:pPr>
      <w:r>
        <w:rPr>
          <w:rFonts w:cstheme="minorHAnsi"/>
        </w:rPr>
        <w:t xml:space="preserve">Alcohol </w:t>
      </w:r>
      <w:r w:rsidR="00053A9F">
        <w:rPr>
          <w:rFonts w:cstheme="minorHAnsi"/>
        </w:rPr>
        <w:t>consumption has a sizeable impact on health services.</w:t>
      </w:r>
      <w:r>
        <w:rPr>
          <w:rFonts w:cstheme="minorHAnsi"/>
        </w:rPr>
        <w:t xml:space="preserve"> </w:t>
      </w:r>
      <w:r w:rsidR="00053A9F">
        <w:rPr>
          <w:rFonts w:cstheme="minorHAnsi"/>
        </w:rPr>
        <w:t>For example, in England the</w:t>
      </w:r>
      <w:r w:rsidR="00041FCF">
        <w:rPr>
          <w:rFonts w:cstheme="minorHAnsi"/>
        </w:rPr>
        <w:t xml:space="preserve"> estimated direct costs of </w:t>
      </w:r>
      <w:r w:rsidR="00053A9F">
        <w:rPr>
          <w:rFonts w:cstheme="minorHAnsi"/>
        </w:rPr>
        <w:t xml:space="preserve">alcohol to the NHS is </w:t>
      </w:r>
      <w:r>
        <w:rPr>
          <w:rFonts w:cstheme="minorHAnsi"/>
        </w:rPr>
        <w:t>£3.5 billion each year.</w:t>
      </w:r>
      <w:r w:rsidR="00041FCF">
        <w:rPr>
          <w:rStyle w:val="EndnoteReference"/>
          <w:rFonts w:cstheme="minorHAnsi"/>
        </w:rPr>
        <w:endnoteReference w:id="14"/>
      </w:r>
      <w:r>
        <w:rPr>
          <w:rFonts w:cstheme="minorHAnsi"/>
        </w:rPr>
        <w:t xml:space="preserve"> There are over one million alcohol-related hospital admissions in England each year,</w:t>
      </w:r>
      <w:r w:rsidR="00041FCF">
        <w:rPr>
          <w:rStyle w:val="EndnoteReference"/>
          <w:rFonts w:cstheme="minorHAnsi"/>
        </w:rPr>
        <w:endnoteReference w:id="15"/>
      </w:r>
      <w:r>
        <w:rPr>
          <w:rFonts w:cstheme="minorHAnsi"/>
        </w:rPr>
        <w:t xml:space="preserve"> with 70% of A&amp;E </w:t>
      </w:r>
      <w:r w:rsidR="00041FCF">
        <w:rPr>
          <w:rFonts w:cstheme="minorHAnsi"/>
        </w:rPr>
        <w:t>attendances</w:t>
      </w:r>
      <w:r>
        <w:rPr>
          <w:rFonts w:cstheme="minorHAnsi"/>
        </w:rPr>
        <w:t xml:space="preserve"> at week</w:t>
      </w:r>
      <w:r w:rsidR="00041FCF">
        <w:rPr>
          <w:rFonts w:cstheme="minorHAnsi"/>
        </w:rPr>
        <w:t>ends related to alcohol.</w:t>
      </w:r>
      <w:r w:rsidR="00041FCF">
        <w:rPr>
          <w:rStyle w:val="EndnoteReference"/>
          <w:rFonts w:cstheme="minorHAnsi"/>
        </w:rPr>
        <w:endnoteReference w:id="16"/>
      </w:r>
    </w:p>
    <w:p w14:paraId="0505AA4A" w14:textId="77777777" w:rsidR="004D31B8" w:rsidRPr="00513C56" w:rsidRDefault="004D31B8" w:rsidP="00513C56">
      <w:pPr>
        <w:spacing w:after="0" w:line="276" w:lineRule="auto"/>
        <w:ind w:left="360"/>
        <w:jc w:val="both"/>
        <w:rPr>
          <w:rFonts w:cstheme="minorHAnsi"/>
          <w:b/>
        </w:rPr>
      </w:pPr>
    </w:p>
    <w:p w14:paraId="79280F94" w14:textId="222FA420" w:rsidR="00945F94" w:rsidRPr="00053A9F" w:rsidRDefault="004D31B8" w:rsidP="004D31B8">
      <w:pPr>
        <w:pStyle w:val="Default"/>
        <w:numPr>
          <w:ilvl w:val="0"/>
          <w:numId w:val="31"/>
        </w:numPr>
        <w:spacing w:line="276" w:lineRule="auto"/>
        <w:jc w:val="both"/>
        <w:rPr>
          <w:rFonts w:asciiTheme="minorHAnsi" w:hAnsiTheme="minorHAnsi" w:cstheme="minorHAnsi"/>
          <w:sz w:val="22"/>
          <w:szCs w:val="22"/>
        </w:rPr>
      </w:pPr>
      <w:r w:rsidRPr="001A093F">
        <w:rPr>
          <w:rFonts w:asciiTheme="minorHAnsi" w:hAnsiTheme="minorHAnsi" w:cstheme="minorHAnsi"/>
          <w:sz w:val="22"/>
          <w:szCs w:val="22"/>
        </w:rPr>
        <w:t>Alcohol is also implicated in a wide range of social problems, particularly crime</w:t>
      </w:r>
      <w:r>
        <w:rPr>
          <w:rFonts w:asciiTheme="minorHAnsi" w:hAnsiTheme="minorHAnsi" w:cstheme="minorHAnsi"/>
          <w:sz w:val="22"/>
          <w:szCs w:val="22"/>
        </w:rPr>
        <w:t xml:space="preserve"> </w:t>
      </w:r>
      <w:r w:rsidRPr="00CE0760">
        <w:rPr>
          <w:rFonts w:asciiTheme="minorHAnsi" w:hAnsiTheme="minorHAnsi" w:cstheme="minorHAnsi"/>
          <w:sz w:val="22"/>
          <w:szCs w:val="22"/>
        </w:rPr>
        <w:t>and workplace absences. In combination, these health and social problems impose a substantial burden on public services and the wider economy. The UK Government estimates that the total cost of alcohol-related harm in England and Wales is £21</w:t>
      </w:r>
      <w:r>
        <w:rPr>
          <w:rFonts w:asciiTheme="minorHAnsi" w:hAnsiTheme="minorHAnsi" w:cstheme="minorHAnsi"/>
          <w:sz w:val="22"/>
          <w:szCs w:val="22"/>
        </w:rPr>
        <w:t xml:space="preserve"> </w:t>
      </w:r>
      <w:r w:rsidRPr="00CE0760">
        <w:rPr>
          <w:rFonts w:asciiTheme="minorHAnsi" w:hAnsiTheme="minorHAnsi" w:cstheme="minorHAnsi"/>
          <w:sz w:val="22"/>
          <w:szCs w:val="22"/>
        </w:rPr>
        <w:t>b</w:t>
      </w:r>
      <w:r>
        <w:rPr>
          <w:rFonts w:asciiTheme="minorHAnsi" w:hAnsiTheme="minorHAnsi" w:cstheme="minorHAnsi"/>
          <w:sz w:val="22"/>
          <w:szCs w:val="22"/>
        </w:rPr>
        <w:t>illio</w:t>
      </w:r>
      <w:r w:rsidRPr="00CE0760">
        <w:rPr>
          <w:rFonts w:asciiTheme="minorHAnsi" w:hAnsiTheme="minorHAnsi" w:cstheme="minorHAnsi"/>
          <w:sz w:val="22"/>
          <w:szCs w:val="22"/>
        </w:rPr>
        <w:t>n per year.</w:t>
      </w:r>
      <w:r>
        <w:rPr>
          <w:rStyle w:val="EndnoteReference"/>
          <w:rFonts w:asciiTheme="minorHAnsi" w:hAnsiTheme="minorHAnsi" w:cstheme="minorHAnsi"/>
          <w:sz w:val="22"/>
          <w:szCs w:val="22"/>
        </w:rPr>
        <w:endnoteReference w:id="17"/>
      </w:r>
    </w:p>
    <w:p w14:paraId="1234D1D9" w14:textId="4054FEDC" w:rsidR="00A772B4" w:rsidRDefault="00A772B4" w:rsidP="00A772B4">
      <w:pPr>
        <w:spacing w:after="0" w:line="276" w:lineRule="auto"/>
        <w:jc w:val="both"/>
      </w:pPr>
    </w:p>
    <w:sectPr w:rsidR="00A772B4">
      <w:headerReference w:type="default" r:id="rId8"/>
      <w:footerReference w:type="default" r:id="rId9"/>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E5C60" w14:textId="77777777" w:rsidR="001A1F41" w:rsidRPr="00C87AB0" w:rsidRDefault="001A1F41" w:rsidP="00CC110D">
      <w:pPr>
        <w:spacing w:after="0" w:line="240" w:lineRule="auto"/>
        <w:rPr>
          <w:b/>
        </w:rPr>
      </w:pPr>
      <w:r w:rsidRPr="00C87AB0">
        <w:rPr>
          <w:b/>
        </w:rPr>
        <w:t>References</w:t>
      </w:r>
    </w:p>
    <w:p w14:paraId="73AABA05" w14:textId="77777777" w:rsidR="001A1F41" w:rsidRDefault="001A1F41" w:rsidP="00CC110D">
      <w:pPr>
        <w:spacing w:after="0" w:line="240" w:lineRule="auto"/>
      </w:pPr>
      <w:r>
        <w:separator/>
      </w:r>
    </w:p>
  </w:endnote>
  <w:endnote w:type="continuationSeparator" w:id="0">
    <w:p w14:paraId="1A7A6C1F" w14:textId="77777777" w:rsidR="001A1F41" w:rsidRDefault="001A1F41" w:rsidP="00CC110D">
      <w:pPr>
        <w:spacing w:after="0" w:line="240" w:lineRule="auto"/>
      </w:pPr>
      <w:r>
        <w:continuationSeparator/>
      </w:r>
    </w:p>
  </w:endnote>
  <w:endnote w:id="1">
    <w:p w14:paraId="57E8ADC3" w14:textId="77777777" w:rsidR="00C17E2B" w:rsidRPr="00053A9F" w:rsidRDefault="00C17E2B" w:rsidP="00994772">
      <w:pPr>
        <w:pStyle w:val="NoSpacing"/>
        <w:jc w:val="both"/>
        <w:rPr>
          <w:rFonts w:cstheme="minorHAnsi"/>
          <w:sz w:val="16"/>
          <w:szCs w:val="16"/>
        </w:rPr>
      </w:pPr>
      <w:r w:rsidRPr="00053A9F">
        <w:rPr>
          <w:rStyle w:val="EndnoteReference"/>
          <w:rFonts w:cstheme="minorHAnsi"/>
          <w:sz w:val="16"/>
          <w:szCs w:val="16"/>
        </w:rPr>
        <w:endnoteRef/>
      </w:r>
      <w:r w:rsidRPr="00053A9F">
        <w:rPr>
          <w:rFonts w:cstheme="minorHAnsi"/>
          <w:sz w:val="16"/>
          <w:szCs w:val="16"/>
        </w:rPr>
        <w:t xml:space="preserve"> Registered charity in England and Wales (1089464), Scotland (SC041666) and the Isle of Man (1103). </w:t>
      </w:r>
      <w:r w:rsidRPr="00053A9F">
        <w:rPr>
          <w:rFonts w:cstheme="minorHAnsi"/>
          <w:color w:val="000000"/>
          <w:sz w:val="16"/>
          <w:szCs w:val="16"/>
        </w:rPr>
        <w:t>Registered as a company limited by guarantee in England &amp; Wales No.4325234. Registered address: Angel Building, 407 St John Street, London EC1V 4AD</w:t>
      </w:r>
    </w:p>
  </w:endnote>
  <w:endnote w:id="2">
    <w:p w14:paraId="380B72B3" w14:textId="7C96AAF2" w:rsidR="000E3A52" w:rsidRPr="00053A9F" w:rsidRDefault="000E3A52">
      <w:pPr>
        <w:pStyle w:val="EndnoteText"/>
        <w:rPr>
          <w:sz w:val="16"/>
          <w:szCs w:val="16"/>
        </w:rPr>
      </w:pPr>
      <w:r w:rsidRPr="00053A9F">
        <w:rPr>
          <w:rStyle w:val="EndnoteReference"/>
          <w:sz w:val="16"/>
          <w:szCs w:val="16"/>
        </w:rPr>
        <w:endnoteRef/>
      </w:r>
      <w:r w:rsidRPr="00053A9F">
        <w:rPr>
          <w:sz w:val="16"/>
          <w:szCs w:val="16"/>
        </w:rPr>
        <w:t xml:space="preserve"> Internationa</w:t>
      </w:r>
      <w:r w:rsidR="00053A9F" w:rsidRPr="00053A9F">
        <w:rPr>
          <w:sz w:val="16"/>
          <w:szCs w:val="16"/>
        </w:rPr>
        <w:t>l Agency for Research on Cancer (1988)</w:t>
      </w:r>
      <w:r w:rsidRPr="00053A9F">
        <w:rPr>
          <w:sz w:val="16"/>
          <w:szCs w:val="16"/>
        </w:rPr>
        <w:t xml:space="preserve"> Al</w:t>
      </w:r>
      <w:r w:rsidR="00053A9F" w:rsidRPr="00053A9F">
        <w:rPr>
          <w:sz w:val="16"/>
          <w:szCs w:val="16"/>
        </w:rPr>
        <w:t>cohol drinking:</w:t>
      </w:r>
      <w:r w:rsidRPr="00053A9F">
        <w:rPr>
          <w:sz w:val="16"/>
          <w:szCs w:val="16"/>
        </w:rPr>
        <w:t> </w:t>
      </w:r>
      <w:r w:rsidRPr="00053A9F">
        <w:rPr>
          <w:i/>
          <w:iCs/>
          <w:sz w:val="16"/>
          <w:szCs w:val="16"/>
        </w:rPr>
        <w:t>IARC Monographs on the Evaluation of Carcinogenic Risks to Humans. </w:t>
      </w:r>
      <w:r w:rsidR="00053A9F" w:rsidRPr="00053A9F">
        <w:rPr>
          <w:sz w:val="16"/>
          <w:szCs w:val="16"/>
        </w:rPr>
        <w:t>Vol 44</w:t>
      </w:r>
      <w:r w:rsidRPr="00053A9F">
        <w:rPr>
          <w:sz w:val="16"/>
          <w:szCs w:val="16"/>
        </w:rPr>
        <w:t> </w:t>
      </w:r>
      <w:r w:rsidR="00053A9F" w:rsidRPr="00053A9F">
        <w:rPr>
          <w:sz w:val="16"/>
          <w:szCs w:val="16"/>
        </w:rPr>
        <w:t>(</w:t>
      </w:r>
      <w:hyperlink r:id="rId1" w:tgtFrame="_blank" w:history="1">
        <w:r w:rsidR="00053A9F" w:rsidRPr="00053A9F">
          <w:rPr>
            <w:rStyle w:val="Hyperlink"/>
            <w:sz w:val="16"/>
            <w:szCs w:val="16"/>
          </w:rPr>
          <w:t>website</w:t>
        </w:r>
      </w:hyperlink>
      <w:r w:rsidR="00053A9F" w:rsidRPr="00053A9F">
        <w:rPr>
          <w:sz w:val="16"/>
          <w:szCs w:val="16"/>
        </w:rPr>
        <w:t>)</w:t>
      </w:r>
    </w:p>
  </w:endnote>
  <w:endnote w:id="3">
    <w:p w14:paraId="756BD222" w14:textId="0F05E82A" w:rsidR="000E3A52" w:rsidRPr="00053A9F" w:rsidRDefault="000E3A52">
      <w:pPr>
        <w:pStyle w:val="EndnoteText"/>
        <w:rPr>
          <w:sz w:val="16"/>
          <w:szCs w:val="16"/>
        </w:rPr>
      </w:pPr>
      <w:r w:rsidRPr="00053A9F">
        <w:rPr>
          <w:rStyle w:val="EndnoteReference"/>
          <w:sz w:val="16"/>
          <w:szCs w:val="16"/>
        </w:rPr>
        <w:endnoteRef/>
      </w:r>
      <w:r w:rsidRPr="00053A9F">
        <w:rPr>
          <w:sz w:val="16"/>
          <w:szCs w:val="16"/>
        </w:rPr>
        <w:t xml:space="preserve"> International Agency for Research on Cancer</w:t>
      </w:r>
      <w:r w:rsidR="00053A9F" w:rsidRPr="00053A9F">
        <w:rPr>
          <w:sz w:val="16"/>
          <w:szCs w:val="16"/>
        </w:rPr>
        <w:t xml:space="preserve"> (2012)</w:t>
      </w:r>
      <w:r w:rsidRPr="00053A9F">
        <w:rPr>
          <w:sz w:val="16"/>
          <w:szCs w:val="16"/>
        </w:rPr>
        <w:t xml:space="preserve"> Consumption of alcoholic beverages. </w:t>
      </w:r>
      <w:r w:rsidRPr="00053A9F">
        <w:rPr>
          <w:i/>
          <w:iCs/>
          <w:sz w:val="16"/>
          <w:szCs w:val="16"/>
        </w:rPr>
        <w:t xml:space="preserve">IARC </w:t>
      </w:r>
      <w:proofErr w:type="spellStart"/>
      <w:r w:rsidRPr="00053A9F">
        <w:rPr>
          <w:i/>
          <w:iCs/>
          <w:sz w:val="16"/>
          <w:szCs w:val="16"/>
        </w:rPr>
        <w:t>Monogr</w:t>
      </w:r>
      <w:proofErr w:type="spellEnd"/>
      <w:r w:rsidRPr="00053A9F">
        <w:rPr>
          <w:i/>
          <w:iCs/>
          <w:sz w:val="16"/>
          <w:szCs w:val="16"/>
        </w:rPr>
        <w:t xml:space="preserve"> </w:t>
      </w:r>
      <w:proofErr w:type="spellStart"/>
      <w:r w:rsidRPr="00053A9F">
        <w:rPr>
          <w:i/>
          <w:iCs/>
          <w:sz w:val="16"/>
          <w:szCs w:val="16"/>
        </w:rPr>
        <w:t>Eval</w:t>
      </w:r>
      <w:proofErr w:type="spellEnd"/>
      <w:r w:rsidRPr="00053A9F">
        <w:rPr>
          <w:i/>
          <w:iCs/>
          <w:sz w:val="16"/>
          <w:szCs w:val="16"/>
        </w:rPr>
        <w:t xml:space="preserve"> </w:t>
      </w:r>
      <w:proofErr w:type="spellStart"/>
      <w:r w:rsidRPr="00053A9F">
        <w:rPr>
          <w:i/>
          <w:iCs/>
          <w:sz w:val="16"/>
          <w:szCs w:val="16"/>
        </w:rPr>
        <w:t>Carcinog</w:t>
      </w:r>
      <w:proofErr w:type="spellEnd"/>
      <w:r w:rsidRPr="00053A9F">
        <w:rPr>
          <w:i/>
          <w:iCs/>
          <w:sz w:val="16"/>
          <w:szCs w:val="16"/>
        </w:rPr>
        <w:t xml:space="preserve"> Risks to Humans</w:t>
      </w:r>
      <w:r w:rsidR="00053A9F" w:rsidRPr="00053A9F">
        <w:rPr>
          <w:sz w:val="16"/>
          <w:szCs w:val="16"/>
        </w:rPr>
        <w:t xml:space="preserve">. 2012;100E </w:t>
      </w:r>
      <w:hyperlink r:id="rId2" w:tgtFrame="_blank" w:history="1">
        <w:r w:rsidR="00053A9F" w:rsidRPr="00053A9F">
          <w:rPr>
            <w:rStyle w:val="Hyperlink"/>
            <w:sz w:val="16"/>
            <w:szCs w:val="16"/>
          </w:rPr>
          <w:t>(pdf)</w:t>
        </w:r>
      </w:hyperlink>
    </w:p>
  </w:endnote>
  <w:endnote w:id="4">
    <w:p w14:paraId="19271B67" w14:textId="389B17F5" w:rsidR="003A40DF" w:rsidRPr="00053A9F" w:rsidRDefault="003A40DF">
      <w:pPr>
        <w:pStyle w:val="EndnoteText"/>
        <w:rPr>
          <w:sz w:val="16"/>
          <w:szCs w:val="16"/>
        </w:rPr>
      </w:pPr>
      <w:r w:rsidRPr="00053A9F">
        <w:rPr>
          <w:rStyle w:val="EndnoteReference"/>
          <w:sz w:val="16"/>
          <w:szCs w:val="16"/>
        </w:rPr>
        <w:endnoteRef/>
      </w:r>
      <w:r w:rsidRPr="00053A9F">
        <w:rPr>
          <w:sz w:val="16"/>
          <w:szCs w:val="16"/>
        </w:rPr>
        <w:t xml:space="preserve"> </w:t>
      </w:r>
      <w:proofErr w:type="spellStart"/>
      <w:r w:rsidRPr="00053A9F">
        <w:rPr>
          <w:sz w:val="16"/>
          <w:szCs w:val="16"/>
        </w:rPr>
        <w:t>Scoccianti</w:t>
      </w:r>
      <w:proofErr w:type="spellEnd"/>
      <w:r w:rsidRPr="00053A9F">
        <w:rPr>
          <w:sz w:val="16"/>
          <w:szCs w:val="16"/>
        </w:rPr>
        <w:t xml:space="preserve"> C, </w:t>
      </w:r>
      <w:proofErr w:type="spellStart"/>
      <w:r w:rsidRPr="00053A9F">
        <w:rPr>
          <w:sz w:val="16"/>
          <w:szCs w:val="16"/>
        </w:rPr>
        <w:t>Cecchini</w:t>
      </w:r>
      <w:proofErr w:type="spellEnd"/>
      <w:r w:rsidRPr="00053A9F">
        <w:rPr>
          <w:sz w:val="16"/>
          <w:szCs w:val="16"/>
        </w:rPr>
        <w:t xml:space="preserve"> M, Anderson AS, et al. </w:t>
      </w:r>
      <w:r w:rsidR="000515C9">
        <w:rPr>
          <w:sz w:val="16"/>
          <w:szCs w:val="16"/>
        </w:rPr>
        <w:t xml:space="preserve">(2015) </w:t>
      </w:r>
      <w:r w:rsidRPr="00053A9F">
        <w:rPr>
          <w:sz w:val="16"/>
          <w:szCs w:val="16"/>
        </w:rPr>
        <w:t>European Code against Cancer 4th Edition: Alcohol drinking and cancer. </w:t>
      </w:r>
      <w:r w:rsidRPr="00053A9F">
        <w:rPr>
          <w:i/>
          <w:iCs/>
          <w:sz w:val="16"/>
          <w:szCs w:val="16"/>
        </w:rPr>
        <w:t xml:space="preserve">Cancer </w:t>
      </w:r>
      <w:proofErr w:type="spellStart"/>
      <w:r w:rsidRPr="00053A9F">
        <w:rPr>
          <w:i/>
          <w:iCs/>
          <w:sz w:val="16"/>
          <w:szCs w:val="16"/>
        </w:rPr>
        <w:t>Epidemiol</w:t>
      </w:r>
      <w:proofErr w:type="spellEnd"/>
      <w:r w:rsidR="000515C9">
        <w:rPr>
          <w:sz w:val="16"/>
          <w:szCs w:val="16"/>
        </w:rPr>
        <w:t>. 2015;</w:t>
      </w:r>
      <w:proofErr w:type="gramStart"/>
      <w:r w:rsidR="000515C9">
        <w:rPr>
          <w:sz w:val="16"/>
          <w:szCs w:val="16"/>
        </w:rPr>
        <w:t>39:S</w:t>
      </w:r>
      <w:proofErr w:type="gramEnd"/>
      <w:r w:rsidR="000515C9">
        <w:rPr>
          <w:sz w:val="16"/>
          <w:szCs w:val="16"/>
        </w:rPr>
        <w:t>67-S74</w:t>
      </w:r>
      <w:r w:rsidRPr="00053A9F">
        <w:rPr>
          <w:sz w:val="16"/>
          <w:szCs w:val="16"/>
        </w:rPr>
        <w:t> </w:t>
      </w:r>
      <w:r w:rsidR="00BC64EF">
        <w:rPr>
          <w:sz w:val="16"/>
          <w:szCs w:val="16"/>
        </w:rPr>
        <w:t>(</w:t>
      </w:r>
      <w:hyperlink r:id="rId3" w:tgtFrame="_blank" w:history="1">
        <w:r w:rsidR="00BC64EF">
          <w:rPr>
            <w:rStyle w:val="Hyperlink"/>
            <w:sz w:val="16"/>
            <w:szCs w:val="16"/>
          </w:rPr>
          <w:t>website</w:t>
        </w:r>
      </w:hyperlink>
      <w:r w:rsidR="00BC64EF">
        <w:rPr>
          <w:sz w:val="16"/>
          <w:szCs w:val="16"/>
        </w:rPr>
        <w:t>)</w:t>
      </w:r>
    </w:p>
  </w:endnote>
  <w:endnote w:id="5">
    <w:p w14:paraId="7DE03CAA" w14:textId="3AB56C0D" w:rsidR="003A40DF" w:rsidRPr="00053A9F" w:rsidRDefault="003A40DF">
      <w:pPr>
        <w:pStyle w:val="EndnoteText"/>
        <w:rPr>
          <w:sz w:val="16"/>
          <w:szCs w:val="16"/>
        </w:rPr>
      </w:pPr>
      <w:r w:rsidRPr="00053A9F">
        <w:rPr>
          <w:rStyle w:val="EndnoteReference"/>
          <w:sz w:val="16"/>
          <w:szCs w:val="16"/>
        </w:rPr>
        <w:endnoteRef/>
      </w:r>
      <w:r w:rsidRPr="00053A9F">
        <w:rPr>
          <w:sz w:val="16"/>
          <w:szCs w:val="16"/>
        </w:rPr>
        <w:t xml:space="preserve"> </w:t>
      </w:r>
      <w:r w:rsidR="00B85371">
        <w:rPr>
          <w:sz w:val="16"/>
          <w:szCs w:val="16"/>
        </w:rPr>
        <w:t>World Health Organization (2014</w:t>
      </w:r>
      <w:r w:rsidRPr="00053A9F">
        <w:rPr>
          <w:sz w:val="16"/>
          <w:szCs w:val="16"/>
        </w:rPr>
        <w:t>). Global status report on alcohol and health 2014. 2014. </w:t>
      </w:r>
      <w:r w:rsidR="00BC64EF">
        <w:rPr>
          <w:sz w:val="16"/>
          <w:szCs w:val="16"/>
        </w:rPr>
        <w:t>(</w:t>
      </w:r>
      <w:hyperlink r:id="rId4" w:tgtFrame="_blank" w:history="1">
        <w:r w:rsidR="00BC64EF">
          <w:rPr>
            <w:rStyle w:val="Hyperlink"/>
            <w:sz w:val="16"/>
            <w:szCs w:val="16"/>
          </w:rPr>
          <w:t>website</w:t>
        </w:r>
      </w:hyperlink>
      <w:r w:rsidR="00BC64EF">
        <w:rPr>
          <w:sz w:val="16"/>
          <w:szCs w:val="16"/>
        </w:rPr>
        <w:t>)</w:t>
      </w:r>
    </w:p>
  </w:endnote>
  <w:endnote w:id="6">
    <w:p w14:paraId="21A46B01" w14:textId="1A6AEE90" w:rsidR="003A40DF" w:rsidRPr="00053A9F" w:rsidRDefault="003A40DF">
      <w:pPr>
        <w:pStyle w:val="EndnoteText"/>
        <w:rPr>
          <w:sz w:val="16"/>
          <w:szCs w:val="16"/>
        </w:rPr>
      </w:pPr>
      <w:r w:rsidRPr="00053A9F">
        <w:rPr>
          <w:rStyle w:val="EndnoteReference"/>
          <w:sz w:val="16"/>
          <w:szCs w:val="16"/>
        </w:rPr>
        <w:endnoteRef/>
      </w:r>
      <w:r w:rsidRPr="00053A9F">
        <w:rPr>
          <w:sz w:val="16"/>
          <w:szCs w:val="16"/>
        </w:rPr>
        <w:t xml:space="preserve"> </w:t>
      </w:r>
      <w:r w:rsidR="00B85371">
        <w:rPr>
          <w:sz w:val="16"/>
          <w:szCs w:val="16"/>
        </w:rPr>
        <w:t>World Health Organization (2014</w:t>
      </w:r>
      <w:r w:rsidRPr="00053A9F">
        <w:rPr>
          <w:sz w:val="16"/>
          <w:szCs w:val="16"/>
        </w:rPr>
        <w:t>). World Cancer Report. </w:t>
      </w:r>
      <w:r w:rsidRPr="00053A9F">
        <w:rPr>
          <w:i/>
          <w:iCs/>
          <w:sz w:val="16"/>
          <w:szCs w:val="16"/>
        </w:rPr>
        <w:t>IARC Press</w:t>
      </w:r>
      <w:r w:rsidRPr="00053A9F">
        <w:rPr>
          <w:sz w:val="16"/>
          <w:szCs w:val="16"/>
        </w:rPr>
        <w:t>. 2014. </w:t>
      </w:r>
      <w:r w:rsidR="008E7DF5">
        <w:rPr>
          <w:sz w:val="16"/>
          <w:szCs w:val="16"/>
        </w:rPr>
        <w:t>(</w:t>
      </w:r>
      <w:hyperlink r:id="rId5" w:tgtFrame="_blank" w:history="1">
        <w:r w:rsidR="008E7DF5">
          <w:rPr>
            <w:rStyle w:val="Hyperlink"/>
            <w:sz w:val="16"/>
            <w:szCs w:val="16"/>
          </w:rPr>
          <w:t>website</w:t>
        </w:r>
      </w:hyperlink>
      <w:r w:rsidR="008E7DF5">
        <w:rPr>
          <w:sz w:val="16"/>
          <w:szCs w:val="16"/>
        </w:rPr>
        <w:t>)</w:t>
      </w:r>
    </w:p>
  </w:endnote>
  <w:endnote w:id="7">
    <w:p w14:paraId="13253DFA" w14:textId="5931B698" w:rsidR="003A40DF" w:rsidRPr="00053A9F" w:rsidRDefault="003A40DF">
      <w:pPr>
        <w:pStyle w:val="EndnoteText"/>
        <w:rPr>
          <w:sz w:val="16"/>
          <w:szCs w:val="16"/>
        </w:rPr>
      </w:pPr>
      <w:r w:rsidRPr="00053A9F">
        <w:rPr>
          <w:rStyle w:val="EndnoteReference"/>
          <w:sz w:val="16"/>
          <w:szCs w:val="16"/>
        </w:rPr>
        <w:endnoteRef/>
      </w:r>
      <w:r w:rsidRPr="00053A9F">
        <w:rPr>
          <w:sz w:val="16"/>
          <w:szCs w:val="16"/>
        </w:rPr>
        <w:t xml:space="preserve"> Department of Health.</w:t>
      </w:r>
      <w:r w:rsidR="00B85371">
        <w:rPr>
          <w:sz w:val="16"/>
          <w:szCs w:val="16"/>
        </w:rPr>
        <w:t xml:space="preserve"> (2016)</w:t>
      </w:r>
      <w:r w:rsidRPr="00053A9F">
        <w:rPr>
          <w:sz w:val="16"/>
          <w:szCs w:val="16"/>
        </w:rPr>
        <w:t xml:space="preserve"> Alcohol Guidelines Review – Report from the Guidelines development group to the UK Chief Medical Officers. </w:t>
      </w:r>
      <w:r w:rsidR="008E7DF5">
        <w:rPr>
          <w:sz w:val="16"/>
          <w:szCs w:val="16"/>
        </w:rPr>
        <w:t>(</w:t>
      </w:r>
      <w:hyperlink r:id="rId6" w:tgtFrame="_blank" w:history="1">
        <w:r w:rsidR="008E7DF5">
          <w:rPr>
            <w:rStyle w:val="Hyperlink"/>
            <w:sz w:val="16"/>
            <w:szCs w:val="16"/>
          </w:rPr>
          <w:t>pdf</w:t>
        </w:r>
      </w:hyperlink>
      <w:r w:rsidR="008E7DF5">
        <w:rPr>
          <w:sz w:val="16"/>
          <w:szCs w:val="16"/>
        </w:rPr>
        <w:t>)</w:t>
      </w:r>
    </w:p>
  </w:endnote>
  <w:endnote w:id="8">
    <w:p w14:paraId="66DECC41" w14:textId="065A286A" w:rsidR="003A40DF" w:rsidRPr="00053A9F" w:rsidRDefault="003A40DF">
      <w:pPr>
        <w:pStyle w:val="EndnoteText"/>
        <w:rPr>
          <w:sz w:val="16"/>
          <w:szCs w:val="16"/>
        </w:rPr>
      </w:pPr>
      <w:r w:rsidRPr="00053A9F">
        <w:rPr>
          <w:rStyle w:val="EndnoteReference"/>
          <w:sz w:val="16"/>
          <w:szCs w:val="16"/>
        </w:rPr>
        <w:endnoteRef/>
      </w:r>
      <w:r w:rsidRPr="00053A9F">
        <w:rPr>
          <w:sz w:val="16"/>
          <w:szCs w:val="16"/>
        </w:rPr>
        <w:t xml:space="preserve"> </w:t>
      </w:r>
      <w:bookmarkStart w:id="1" w:name="_Hlk519857367"/>
      <w:r w:rsidRPr="00053A9F">
        <w:rPr>
          <w:sz w:val="16"/>
          <w:szCs w:val="16"/>
        </w:rPr>
        <w:t xml:space="preserve">Brown, K. et al. </w:t>
      </w:r>
      <w:r w:rsidR="00B85371">
        <w:rPr>
          <w:sz w:val="16"/>
          <w:szCs w:val="16"/>
        </w:rPr>
        <w:t xml:space="preserve">(2018) </w:t>
      </w:r>
      <w:r w:rsidRPr="00053A9F">
        <w:rPr>
          <w:sz w:val="16"/>
          <w:szCs w:val="16"/>
        </w:rPr>
        <w:t>The fraction of cancer attributable to modifiable risk factors in England, Wales, Scotland, Northern Ireland and the United Kingdom in 2015. British Journal of Cancer </w:t>
      </w:r>
      <w:r w:rsidR="008E7DF5">
        <w:rPr>
          <w:sz w:val="16"/>
          <w:szCs w:val="16"/>
        </w:rPr>
        <w:t>(</w:t>
      </w:r>
      <w:hyperlink r:id="rId7" w:tgtFrame="_blank" w:history="1">
        <w:r w:rsidR="008E7DF5">
          <w:rPr>
            <w:rStyle w:val="Hyperlink"/>
            <w:sz w:val="16"/>
            <w:szCs w:val="16"/>
          </w:rPr>
          <w:t>website</w:t>
        </w:r>
      </w:hyperlink>
      <w:r w:rsidR="008E7DF5">
        <w:rPr>
          <w:sz w:val="16"/>
          <w:szCs w:val="16"/>
        </w:rPr>
        <w:t>)</w:t>
      </w:r>
      <w:bookmarkEnd w:id="1"/>
    </w:p>
  </w:endnote>
  <w:endnote w:id="9">
    <w:p w14:paraId="2429B4AE" w14:textId="38887D45" w:rsidR="003A40DF" w:rsidRPr="00053A9F" w:rsidRDefault="003A40DF">
      <w:pPr>
        <w:pStyle w:val="EndnoteText"/>
        <w:rPr>
          <w:sz w:val="16"/>
          <w:szCs w:val="16"/>
        </w:rPr>
      </w:pPr>
      <w:r w:rsidRPr="00053A9F">
        <w:rPr>
          <w:rStyle w:val="EndnoteReference"/>
          <w:sz w:val="16"/>
          <w:szCs w:val="16"/>
        </w:rPr>
        <w:endnoteRef/>
      </w:r>
      <w:r w:rsidRPr="00053A9F">
        <w:rPr>
          <w:sz w:val="16"/>
          <w:szCs w:val="16"/>
        </w:rPr>
        <w:t xml:space="preserve"> Calculated by the Cancer Research UK Statistical Information Team, based on figures from Parkin DM, Boyd L, Darby SC, </w:t>
      </w:r>
      <w:proofErr w:type="spellStart"/>
      <w:r w:rsidRPr="00053A9F">
        <w:rPr>
          <w:sz w:val="16"/>
          <w:szCs w:val="16"/>
        </w:rPr>
        <w:t>Mesher</w:t>
      </w:r>
      <w:proofErr w:type="spellEnd"/>
      <w:r w:rsidRPr="00053A9F">
        <w:rPr>
          <w:sz w:val="16"/>
          <w:szCs w:val="16"/>
        </w:rPr>
        <w:t xml:space="preserve"> D, </w:t>
      </w:r>
      <w:proofErr w:type="spellStart"/>
      <w:r w:rsidRPr="00053A9F">
        <w:rPr>
          <w:sz w:val="16"/>
          <w:szCs w:val="16"/>
        </w:rPr>
        <w:t>Sasieni</w:t>
      </w:r>
      <w:proofErr w:type="spellEnd"/>
      <w:r w:rsidRPr="00053A9F">
        <w:rPr>
          <w:sz w:val="16"/>
          <w:szCs w:val="16"/>
        </w:rPr>
        <w:t xml:space="preserve"> P, Walker LC. The Fraction of Cancer Attributable to Lifestyle and Environmental Factors in the UK in 2010. </w:t>
      </w:r>
      <w:r w:rsidRPr="00053A9F">
        <w:rPr>
          <w:i/>
          <w:iCs/>
          <w:sz w:val="16"/>
          <w:szCs w:val="16"/>
        </w:rPr>
        <w:t>Br J Cancer. </w:t>
      </w:r>
      <w:r w:rsidRPr="00053A9F">
        <w:rPr>
          <w:sz w:val="16"/>
          <w:szCs w:val="16"/>
        </w:rPr>
        <w:t>2014. </w:t>
      </w:r>
      <w:r w:rsidR="008E7DF5">
        <w:rPr>
          <w:sz w:val="16"/>
          <w:szCs w:val="16"/>
        </w:rPr>
        <w:t>(</w:t>
      </w:r>
      <w:hyperlink r:id="rId8" w:history="1">
        <w:r w:rsidR="008E7DF5">
          <w:rPr>
            <w:rStyle w:val="Hyperlink"/>
            <w:sz w:val="16"/>
            <w:szCs w:val="16"/>
          </w:rPr>
          <w:t>website</w:t>
        </w:r>
      </w:hyperlink>
      <w:r w:rsidR="008E7DF5">
        <w:rPr>
          <w:sz w:val="16"/>
          <w:szCs w:val="16"/>
        </w:rPr>
        <w:t>)</w:t>
      </w:r>
    </w:p>
  </w:endnote>
  <w:endnote w:id="10">
    <w:p w14:paraId="2C031797" w14:textId="270B1099" w:rsidR="003A40DF" w:rsidRPr="00053A9F" w:rsidRDefault="003A40DF">
      <w:pPr>
        <w:pStyle w:val="EndnoteText"/>
        <w:rPr>
          <w:sz w:val="16"/>
          <w:szCs w:val="16"/>
        </w:rPr>
      </w:pPr>
      <w:r w:rsidRPr="00053A9F">
        <w:rPr>
          <w:rStyle w:val="EndnoteReference"/>
          <w:sz w:val="16"/>
          <w:szCs w:val="16"/>
        </w:rPr>
        <w:endnoteRef/>
      </w:r>
      <w:r w:rsidRPr="00053A9F">
        <w:rPr>
          <w:sz w:val="16"/>
          <w:szCs w:val="16"/>
        </w:rPr>
        <w:t xml:space="preserve"> </w:t>
      </w:r>
      <w:r w:rsidR="00B85371" w:rsidRPr="00B85371">
        <w:rPr>
          <w:sz w:val="16"/>
          <w:szCs w:val="16"/>
        </w:rPr>
        <w:t>Brown, K. et al. (2018) The fraction of cancer attributable to modifiable risk factors in England, Wales, Scotland, Northern Ireland and the United Kingdom in 2015. British Journal of Cancer (</w:t>
      </w:r>
      <w:hyperlink r:id="rId9" w:tgtFrame="_blank" w:history="1">
        <w:r w:rsidR="00B85371" w:rsidRPr="00B85371">
          <w:rPr>
            <w:rStyle w:val="Hyperlink"/>
            <w:sz w:val="16"/>
            <w:szCs w:val="16"/>
          </w:rPr>
          <w:t>website</w:t>
        </w:r>
      </w:hyperlink>
      <w:r w:rsidR="00B85371" w:rsidRPr="00B85371">
        <w:rPr>
          <w:sz w:val="16"/>
          <w:szCs w:val="16"/>
        </w:rPr>
        <w:t>)</w:t>
      </w:r>
    </w:p>
  </w:endnote>
  <w:endnote w:id="11">
    <w:p w14:paraId="65E077C7" w14:textId="79250755" w:rsidR="00740995" w:rsidRPr="00053A9F" w:rsidRDefault="00740995">
      <w:pPr>
        <w:pStyle w:val="EndnoteText"/>
        <w:rPr>
          <w:sz w:val="16"/>
          <w:szCs w:val="16"/>
        </w:rPr>
      </w:pPr>
      <w:r w:rsidRPr="00053A9F">
        <w:rPr>
          <w:rStyle w:val="EndnoteReference"/>
          <w:sz w:val="16"/>
          <w:szCs w:val="16"/>
        </w:rPr>
        <w:endnoteRef/>
      </w:r>
      <w:r w:rsidRPr="00053A9F">
        <w:rPr>
          <w:sz w:val="16"/>
          <w:szCs w:val="16"/>
        </w:rPr>
        <w:t xml:space="preserve"> Corrao G, </w:t>
      </w:r>
      <w:proofErr w:type="spellStart"/>
      <w:r w:rsidRPr="00053A9F">
        <w:rPr>
          <w:sz w:val="16"/>
          <w:szCs w:val="16"/>
        </w:rPr>
        <w:t>Bagnardi</w:t>
      </w:r>
      <w:proofErr w:type="spellEnd"/>
      <w:r w:rsidRPr="00053A9F">
        <w:rPr>
          <w:sz w:val="16"/>
          <w:szCs w:val="16"/>
        </w:rPr>
        <w:t xml:space="preserve"> V, </w:t>
      </w:r>
      <w:proofErr w:type="spellStart"/>
      <w:r w:rsidRPr="00053A9F">
        <w:rPr>
          <w:sz w:val="16"/>
          <w:szCs w:val="16"/>
        </w:rPr>
        <w:t>Zambon</w:t>
      </w:r>
      <w:proofErr w:type="spellEnd"/>
      <w:r w:rsidRPr="00053A9F">
        <w:rPr>
          <w:sz w:val="16"/>
          <w:szCs w:val="16"/>
        </w:rPr>
        <w:t xml:space="preserve"> A, La </w:t>
      </w:r>
      <w:proofErr w:type="spellStart"/>
      <w:r w:rsidRPr="00053A9F">
        <w:rPr>
          <w:sz w:val="16"/>
          <w:szCs w:val="16"/>
        </w:rPr>
        <w:t>Vecchia</w:t>
      </w:r>
      <w:proofErr w:type="spellEnd"/>
      <w:r w:rsidRPr="00053A9F">
        <w:rPr>
          <w:sz w:val="16"/>
          <w:szCs w:val="16"/>
        </w:rPr>
        <w:t xml:space="preserve"> C.</w:t>
      </w:r>
      <w:r w:rsidR="00B85371">
        <w:rPr>
          <w:sz w:val="16"/>
          <w:szCs w:val="16"/>
        </w:rPr>
        <w:t xml:space="preserve"> (2004</w:t>
      </w:r>
      <w:proofErr w:type="gramStart"/>
      <w:r w:rsidR="00B85371">
        <w:rPr>
          <w:sz w:val="16"/>
          <w:szCs w:val="16"/>
        </w:rPr>
        <w:t xml:space="preserve">) </w:t>
      </w:r>
      <w:r w:rsidRPr="00053A9F">
        <w:rPr>
          <w:sz w:val="16"/>
          <w:szCs w:val="16"/>
        </w:rPr>
        <w:t xml:space="preserve"> A</w:t>
      </w:r>
      <w:proofErr w:type="gramEnd"/>
      <w:r w:rsidRPr="00053A9F">
        <w:rPr>
          <w:sz w:val="16"/>
          <w:szCs w:val="16"/>
        </w:rPr>
        <w:t xml:space="preserve"> meta-analysis of alcohol consumption and the risk of 15 diseases. </w:t>
      </w:r>
      <w:proofErr w:type="spellStart"/>
      <w:r w:rsidRPr="00053A9F">
        <w:rPr>
          <w:i/>
          <w:iCs/>
          <w:sz w:val="16"/>
          <w:szCs w:val="16"/>
        </w:rPr>
        <w:t>Prev</w:t>
      </w:r>
      <w:proofErr w:type="spellEnd"/>
      <w:r w:rsidRPr="00053A9F">
        <w:rPr>
          <w:i/>
          <w:iCs/>
          <w:sz w:val="16"/>
          <w:szCs w:val="16"/>
        </w:rPr>
        <w:t xml:space="preserve"> Med (</w:t>
      </w:r>
      <w:proofErr w:type="spellStart"/>
      <w:r w:rsidRPr="00053A9F">
        <w:rPr>
          <w:i/>
          <w:iCs/>
          <w:sz w:val="16"/>
          <w:szCs w:val="16"/>
        </w:rPr>
        <w:t>Baltim</w:t>
      </w:r>
      <w:proofErr w:type="spellEnd"/>
      <w:r w:rsidRPr="00053A9F">
        <w:rPr>
          <w:i/>
          <w:iCs/>
          <w:sz w:val="16"/>
          <w:szCs w:val="16"/>
        </w:rPr>
        <w:t>)</w:t>
      </w:r>
      <w:r w:rsidRPr="00053A9F">
        <w:rPr>
          <w:sz w:val="16"/>
          <w:szCs w:val="16"/>
        </w:rPr>
        <w:t>. 2004;38(5):613-619. </w:t>
      </w:r>
      <w:r w:rsidR="008E7DF5">
        <w:rPr>
          <w:sz w:val="16"/>
          <w:szCs w:val="16"/>
        </w:rPr>
        <w:t>(</w:t>
      </w:r>
      <w:hyperlink r:id="rId10" w:tgtFrame="_blank" w:history="1">
        <w:r w:rsidR="008E7DF5">
          <w:rPr>
            <w:rStyle w:val="Hyperlink"/>
            <w:sz w:val="16"/>
            <w:szCs w:val="16"/>
          </w:rPr>
          <w:t>website</w:t>
        </w:r>
      </w:hyperlink>
      <w:r w:rsidR="008E7DF5">
        <w:rPr>
          <w:sz w:val="16"/>
          <w:szCs w:val="16"/>
        </w:rPr>
        <w:t>)</w:t>
      </w:r>
    </w:p>
  </w:endnote>
  <w:endnote w:id="12">
    <w:p w14:paraId="4F84115C" w14:textId="43592C7D" w:rsidR="00740995" w:rsidRPr="00053A9F" w:rsidRDefault="00740995">
      <w:pPr>
        <w:pStyle w:val="EndnoteText"/>
        <w:rPr>
          <w:sz w:val="16"/>
          <w:szCs w:val="16"/>
        </w:rPr>
      </w:pPr>
      <w:r w:rsidRPr="00053A9F">
        <w:rPr>
          <w:rStyle w:val="EndnoteReference"/>
          <w:sz w:val="16"/>
          <w:szCs w:val="16"/>
        </w:rPr>
        <w:endnoteRef/>
      </w:r>
      <w:r w:rsidRPr="00053A9F">
        <w:rPr>
          <w:sz w:val="16"/>
          <w:szCs w:val="16"/>
        </w:rPr>
        <w:t xml:space="preserve"> </w:t>
      </w:r>
      <w:r w:rsidR="00B85371">
        <w:rPr>
          <w:sz w:val="16"/>
          <w:szCs w:val="16"/>
        </w:rPr>
        <w:t>Rehm, R., et al. (2007)</w:t>
      </w:r>
      <w:r w:rsidRPr="00053A9F">
        <w:rPr>
          <w:sz w:val="16"/>
          <w:szCs w:val="16"/>
        </w:rPr>
        <w:t xml:space="preserve"> Alcohol drinking cessation and its effect on </w:t>
      </w:r>
      <w:proofErr w:type="spellStart"/>
      <w:r w:rsidRPr="00053A9F">
        <w:rPr>
          <w:sz w:val="16"/>
          <w:szCs w:val="16"/>
        </w:rPr>
        <w:t>esophageal</w:t>
      </w:r>
      <w:proofErr w:type="spellEnd"/>
      <w:r w:rsidRPr="00053A9F">
        <w:rPr>
          <w:sz w:val="16"/>
          <w:szCs w:val="16"/>
        </w:rPr>
        <w:t xml:space="preserve"> and head and neck cancers: A pooled analysis. </w:t>
      </w:r>
      <w:proofErr w:type="spellStart"/>
      <w:r w:rsidRPr="00053A9F">
        <w:rPr>
          <w:i/>
          <w:iCs/>
          <w:sz w:val="16"/>
          <w:szCs w:val="16"/>
        </w:rPr>
        <w:t>Int</w:t>
      </w:r>
      <w:proofErr w:type="spellEnd"/>
      <w:r w:rsidRPr="00053A9F">
        <w:rPr>
          <w:i/>
          <w:iCs/>
          <w:sz w:val="16"/>
          <w:szCs w:val="16"/>
        </w:rPr>
        <w:t xml:space="preserve"> J Cancer</w:t>
      </w:r>
      <w:r w:rsidRPr="00053A9F">
        <w:rPr>
          <w:sz w:val="16"/>
          <w:szCs w:val="16"/>
        </w:rPr>
        <w:t>, 2007;121(5):1132-7. </w:t>
      </w:r>
      <w:r w:rsidR="008E7DF5">
        <w:rPr>
          <w:sz w:val="16"/>
          <w:szCs w:val="16"/>
        </w:rPr>
        <w:t>(</w:t>
      </w:r>
      <w:hyperlink r:id="rId11" w:tgtFrame="_blank" w:history="1">
        <w:r w:rsidR="008E7DF5">
          <w:rPr>
            <w:rStyle w:val="Hyperlink"/>
            <w:sz w:val="16"/>
            <w:szCs w:val="16"/>
          </w:rPr>
          <w:t>website</w:t>
        </w:r>
      </w:hyperlink>
      <w:r w:rsidR="008E7DF5">
        <w:rPr>
          <w:sz w:val="16"/>
          <w:szCs w:val="16"/>
        </w:rPr>
        <w:t>)</w:t>
      </w:r>
    </w:p>
  </w:endnote>
  <w:endnote w:id="13">
    <w:p w14:paraId="120E969C" w14:textId="4B7C64A4" w:rsidR="00740995" w:rsidRPr="00053A9F" w:rsidRDefault="00740995">
      <w:pPr>
        <w:pStyle w:val="EndnoteText"/>
        <w:rPr>
          <w:sz w:val="16"/>
          <w:szCs w:val="16"/>
        </w:rPr>
      </w:pPr>
      <w:r w:rsidRPr="00053A9F">
        <w:rPr>
          <w:rStyle w:val="EndnoteReference"/>
          <w:sz w:val="16"/>
          <w:szCs w:val="16"/>
        </w:rPr>
        <w:endnoteRef/>
      </w:r>
      <w:r w:rsidRPr="00053A9F">
        <w:rPr>
          <w:sz w:val="16"/>
          <w:szCs w:val="16"/>
        </w:rPr>
        <w:t xml:space="preserve"> Ahmad </w:t>
      </w:r>
      <w:proofErr w:type="spellStart"/>
      <w:r w:rsidRPr="00053A9F">
        <w:rPr>
          <w:sz w:val="16"/>
          <w:szCs w:val="16"/>
        </w:rPr>
        <w:t>Kiadaliri</w:t>
      </w:r>
      <w:proofErr w:type="spellEnd"/>
      <w:r w:rsidRPr="00053A9F">
        <w:rPr>
          <w:sz w:val="16"/>
          <w:szCs w:val="16"/>
        </w:rPr>
        <w:t xml:space="preserve"> A, Jarl J, </w:t>
      </w:r>
      <w:proofErr w:type="spellStart"/>
      <w:r w:rsidRPr="00053A9F">
        <w:rPr>
          <w:sz w:val="16"/>
          <w:szCs w:val="16"/>
        </w:rPr>
        <w:t>Gavriilidis</w:t>
      </w:r>
      <w:proofErr w:type="spellEnd"/>
      <w:r w:rsidRPr="00053A9F">
        <w:rPr>
          <w:sz w:val="16"/>
          <w:szCs w:val="16"/>
        </w:rPr>
        <w:t xml:space="preserve"> G, </w:t>
      </w:r>
      <w:proofErr w:type="spellStart"/>
      <w:r w:rsidRPr="00053A9F">
        <w:rPr>
          <w:sz w:val="16"/>
          <w:szCs w:val="16"/>
        </w:rPr>
        <w:t>Gerdtham</w:t>
      </w:r>
      <w:proofErr w:type="spellEnd"/>
      <w:r w:rsidRPr="00053A9F">
        <w:rPr>
          <w:sz w:val="16"/>
          <w:szCs w:val="16"/>
        </w:rPr>
        <w:t xml:space="preserve"> U. </w:t>
      </w:r>
      <w:r w:rsidR="00B85371">
        <w:rPr>
          <w:sz w:val="16"/>
          <w:szCs w:val="16"/>
        </w:rPr>
        <w:t xml:space="preserve">(2013) </w:t>
      </w:r>
      <w:r w:rsidRPr="00053A9F">
        <w:rPr>
          <w:sz w:val="16"/>
          <w:szCs w:val="16"/>
        </w:rPr>
        <w:t>Alcohol drinking cessation and the risk of laryngeal and pharyngeal cancers: a systematic review and meta-analysis. </w:t>
      </w:r>
      <w:proofErr w:type="spellStart"/>
      <w:r w:rsidRPr="00053A9F">
        <w:rPr>
          <w:i/>
          <w:iCs/>
          <w:sz w:val="16"/>
          <w:szCs w:val="16"/>
        </w:rPr>
        <w:t>PLoS</w:t>
      </w:r>
      <w:proofErr w:type="spellEnd"/>
      <w:r w:rsidRPr="00053A9F">
        <w:rPr>
          <w:i/>
          <w:iCs/>
          <w:sz w:val="16"/>
          <w:szCs w:val="16"/>
        </w:rPr>
        <w:t xml:space="preserve"> One</w:t>
      </w:r>
      <w:r w:rsidRPr="00053A9F">
        <w:rPr>
          <w:sz w:val="16"/>
          <w:szCs w:val="16"/>
        </w:rPr>
        <w:t>. 2013;8(3</w:t>
      </w:r>
      <w:proofErr w:type="gramStart"/>
      <w:r w:rsidRPr="00053A9F">
        <w:rPr>
          <w:sz w:val="16"/>
          <w:szCs w:val="16"/>
        </w:rPr>
        <w:t>):e</w:t>
      </w:r>
      <w:proofErr w:type="gramEnd"/>
      <w:r w:rsidRPr="00053A9F">
        <w:rPr>
          <w:sz w:val="16"/>
          <w:szCs w:val="16"/>
        </w:rPr>
        <w:t>58158. </w:t>
      </w:r>
      <w:r w:rsidR="008E7DF5">
        <w:rPr>
          <w:sz w:val="16"/>
          <w:szCs w:val="16"/>
        </w:rPr>
        <w:t>(</w:t>
      </w:r>
      <w:hyperlink r:id="rId12" w:tgtFrame="_blank" w:history="1">
        <w:r w:rsidR="008E7DF5">
          <w:rPr>
            <w:rStyle w:val="Hyperlink"/>
            <w:sz w:val="16"/>
            <w:szCs w:val="16"/>
          </w:rPr>
          <w:t>website</w:t>
        </w:r>
      </w:hyperlink>
      <w:r w:rsidR="008E7DF5">
        <w:rPr>
          <w:sz w:val="16"/>
          <w:szCs w:val="16"/>
        </w:rPr>
        <w:t>)</w:t>
      </w:r>
    </w:p>
  </w:endnote>
  <w:endnote w:id="14">
    <w:p w14:paraId="385284E6" w14:textId="23A0ADEA" w:rsidR="00C17E2B" w:rsidRPr="00053A9F" w:rsidRDefault="00C17E2B">
      <w:pPr>
        <w:pStyle w:val="EndnoteText"/>
        <w:rPr>
          <w:sz w:val="16"/>
          <w:szCs w:val="16"/>
        </w:rPr>
      </w:pPr>
      <w:r w:rsidRPr="00053A9F">
        <w:rPr>
          <w:rStyle w:val="EndnoteReference"/>
          <w:sz w:val="16"/>
          <w:szCs w:val="16"/>
        </w:rPr>
        <w:endnoteRef/>
      </w:r>
      <w:r w:rsidRPr="00053A9F">
        <w:rPr>
          <w:sz w:val="16"/>
          <w:szCs w:val="16"/>
        </w:rPr>
        <w:t xml:space="preserve"> Home Office (2012) A Minimum Unit Price for Alcohol Impact Assessment (</w:t>
      </w:r>
      <w:hyperlink r:id="rId13" w:history="1">
        <w:r w:rsidRPr="00053A9F">
          <w:rPr>
            <w:rStyle w:val="Hyperlink"/>
            <w:sz w:val="16"/>
            <w:szCs w:val="16"/>
          </w:rPr>
          <w:t>pdf</w:t>
        </w:r>
      </w:hyperlink>
      <w:r w:rsidRPr="00053A9F">
        <w:rPr>
          <w:sz w:val="16"/>
          <w:szCs w:val="16"/>
        </w:rPr>
        <w:t>)</w:t>
      </w:r>
    </w:p>
  </w:endnote>
  <w:endnote w:id="15">
    <w:p w14:paraId="63CC3370" w14:textId="1D2DBB88" w:rsidR="00C17E2B" w:rsidRPr="00053A9F" w:rsidRDefault="00C17E2B">
      <w:pPr>
        <w:pStyle w:val="EndnoteText"/>
        <w:rPr>
          <w:sz w:val="16"/>
          <w:szCs w:val="16"/>
        </w:rPr>
      </w:pPr>
      <w:r w:rsidRPr="00053A9F">
        <w:rPr>
          <w:rStyle w:val="EndnoteReference"/>
          <w:sz w:val="16"/>
          <w:szCs w:val="16"/>
        </w:rPr>
        <w:endnoteRef/>
      </w:r>
      <w:r w:rsidRPr="00053A9F">
        <w:rPr>
          <w:sz w:val="16"/>
          <w:szCs w:val="16"/>
        </w:rPr>
        <w:t xml:space="preserve"> NHS Digital (2017) </w:t>
      </w:r>
      <w:r w:rsidRPr="00053A9F">
        <w:rPr>
          <w:iCs/>
          <w:sz w:val="16"/>
          <w:szCs w:val="16"/>
        </w:rPr>
        <w:t>Statistics on Alcohol</w:t>
      </w:r>
      <w:r w:rsidRPr="00053A9F">
        <w:rPr>
          <w:sz w:val="16"/>
          <w:szCs w:val="16"/>
        </w:rPr>
        <w:t xml:space="preserve"> (</w:t>
      </w:r>
      <w:hyperlink r:id="rId14" w:history="1">
        <w:r w:rsidRPr="00053A9F">
          <w:rPr>
            <w:rStyle w:val="Hyperlink"/>
            <w:sz w:val="16"/>
            <w:szCs w:val="16"/>
          </w:rPr>
          <w:t>pdf</w:t>
        </w:r>
      </w:hyperlink>
      <w:r w:rsidRPr="00053A9F">
        <w:rPr>
          <w:sz w:val="16"/>
          <w:szCs w:val="16"/>
        </w:rPr>
        <w:t>)</w:t>
      </w:r>
    </w:p>
  </w:endnote>
  <w:endnote w:id="16">
    <w:p w14:paraId="3771E277" w14:textId="1845965B" w:rsidR="00C17E2B" w:rsidRPr="00053A9F" w:rsidRDefault="00C17E2B">
      <w:pPr>
        <w:pStyle w:val="EndnoteText"/>
        <w:rPr>
          <w:sz w:val="16"/>
          <w:szCs w:val="16"/>
        </w:rPr>
      </w:pPr>
      <w:r w:rsidRPr="00053A9F">
        <w:rPr>
          <w:rStyle w:val="EndnoteReference"/>
          <w:sz w:val="16"/>
          <w:szCs w:val="16"/>
        </w:rPr>
        <w:endnoteRef/>
      </w:r>
      <w:r w:rsidRPr="00053A9F">
        <w:rPr>
          <w:sz w:val="16"/>
          <w:szCs w:val="16"/>
        </w:rPr>
        <w:t xml:space="preserve"> Parkinson K, Newbury-Birch D, Phillipson A, et al. (2015). Prevalence of alcohol related attendance at an </w:t>
      </w:r>
      <w:proofErr w:type="gramStart"/>
      <w:r w:rsidRPr="00053A9F">
        <w:rPr>
          <w:sz w:val="16"/>
          <w:szCs w:val="16"/>
        </w:rPr>
        <w:t>inner city</w:t>
      </w:r>
      <w:proofErr w:type="gramEnd"/>
      <w:r w:rsidRPr="00053A9F">
        <w:rPr>
          <w:sz w:val="16"/>
          <w:szCs w:val="16"/>
        </w:rPr>
        <w:t xml:space="preserve"> emergency department and its impact: a dual prospective and retrospective cohort study, </w:t>
      </w:r>
      <w:proofErr w:type="spellStart"/>
      <w:r w:rsidRPr="00053A9F">
        <w:rPr>
          <w:sz w:val="16"/>
          <w:szCs w:val="16"/>
        </w:rPr>
        <w:t>Emerg</w:t>
      </w:r>
      <w:proofErr w:type="spellEnd"/>
      <w:r w:rsidRPr="00053A9F">
        <w:rPr>
          <w:sz w:val="16"/>
          <w:szCs w:val="16"/>
        </w:rPr>
        <w:t xml:space="preserve"> Med J, December 2015. (</w:t>
      </w:r>
      <w:hyperlink r:id="rId15" w:history="1">
        <w:r w:rsidRPr="00053A9F">
          <w:rPr>
            <w:rStyle w:val="Hyperlink"/>
            <w:sz w:val="16"/>
            <w:szCs w:val="16"/>
          </w:rPr>
          <w:t>pdf</w:t>
        </w:r>
      </w:hyperlink>
      <w:r w:rsidRPr="00053A9F">
        <w:rPr>
          <w:sz w:val="16"/>
          <w:szCs w:val="16"/>
        </w:rPr>
        <w:t>)</w:t>
      </w:r>
    </w:p>
  </w:endnote>
  <w:endnote w:id="17">
    <w:p w14:paraId="28623516" w14:textId="77777777" w:rsidR="00C17E2B" w:rsidRPr="001B6116" w:rsidRDefault="00C17E2B" w:rsidP="004D31B8">
      <w:pPr>
        <w:pStyle w:val="EndnoteText"/>
        <w:rPr>
          <w:sz w:val="16"/>
        </w:rPr>
      </w:pPr>
      <w:r w:rsidRPr="00053A9F">
        <w:rPr>
          <w:rStyle w:val="EndnoteReference"/>
          <w:sz w:val="16"/>
          <w:szCs w:val="16"/>
        </w:rPr>
        <w:endnoteRef/>
      </w:r>
      <w:r w:rsidRPr="00053A9F">
        <w:rPr>
          <w:sz w:val="16"/>
          <w:szCs w:val="16"/>
        </w:rPr>
        <w:t xml:space="preserve"> Home Office (2012) A Minimum Unit Price for Alcohol Impact Assessment. London: Home Office (</w:t>
      </w:r>
      <w:hyperlink r:id="rId16" w:history="1">
        <w:r w:rsidRPr="00053A9F">
          <w:rPr>
            <w:rStyle w:val="Hyperlink"/>
            <w:sz w:val="16"/>
            <w:szCs w:val="16"/>
          </w:rPr>
          <w:t>pdf</w:t>
        </w:r>
      </w:hyperlink>
      <w:r w:rsidRPr="00053A9F">
        <w:rPr>
          <w:sz w:val="16"/>
          <w:szCs w:val="16"/>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2466108"/>
      <w:docPartObj>
        <w:docPartGallery w:val="Page Numbers (Bottom of Page)"/>
        <w:docPartUnique/>
      </w:docPartObj>
    </w:sdtPr>
    <w:sdtEndPr>
      <w:rPr>
        <w:noProof/>
      </w:rPr>
    </w:sdtEndPr>
    <w:sdtContent>
      <w:p w14:paraId="7019A4C3" w14:textId="7789CA1C" w:rsidR="00C17E2B" w:rsidRDefault="00C17E2B">
        <w:pPr>
          <w:pStyle w:val="Footer"/>
          <w:jc w:val="right"/>
        </w:pPr>
        <w:r>
          <w:fldChar w:fldCharType="begin"/>
        </w:r>
        <w:r>
          <w:instrText xml:space="preserve"> PAGE   \* MERGEFORMAT </w:instrText>
        </w:r>
        <w:r>
          <w:fldChar w:fldCharType="separate"/>
        </w:r>
        <w:r w:rsidR="00B9374B">
          <w:rPr>
            <w:noProof/>
          </w:rPr>
          <w:t>2</w:t>
        </w:r>
        <w:r>
          <w:rPr>
            <w:noProof/>
          </w:rPr>
          <w:fldChar w:fldCharType="end"/>
        </w:r>
      </w:p>
    </w:sdtContent>
  </w:sdt>
  <w:p w14:paraId="22D2C39A" w14:textId="77777777" w:rsidR="00C17E2B" w:rsidRDefault="00C17E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A0D15" w14:textId="77777777" w:rsidR="001A1F41" w:rsidRDefault="001A1F41" w:rsidP="00CC110D">
      <w:pPr>
        <w:spacing w:after="0" w:line="240" w:lineRule="auto"/>
      </w:pPr>
      <w:r>
        <w:separator/>
      </w:r>
    </w:p>
  </w:footnote>
  <w:footnote w:type="continuationSeparator" w:id="0">
    <w:p w14:paraId="23A85FC8" w14:textId="77777777" w:rsidR="001A1F41" w:rsidRDefault="001A1F41" w:rsidP="00CC1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D812A" w14:textId="13C54699" w:rsidR="00C17E2B" w:rsidRDefault="00C17E2B">
    <w:pPr>
      <w:pStyle w:val="Header"/>
    </w:pPr>
    <w:r>
      <w:rPr>
        <w:noProof/>
        <w:sz w:val="18"/>
        <w:lang w:eastAsia="en-GB"/>
      </w:rPr>
      <w:drawing>
        <wp:anchor distT="0" distB="0" distL="114300" distR="114300" simplePos="0" relativeHeight="251657216" behindDoc="1" locked="0" layoutInCell="1" allowOverlap="1" wp14:anchorId="4DEF7163" wp14:editId="75DDC558">
          <wp:simplePos x="0" y="0"/>
          <wp:positionH relativeFrom="column">
            <wp:posOffset>5001370</wp:posOffset>
          </wp:positionH>
          <wp:positionV relativeFrom="paragraph">
            <wp:posOffset>-302784</wp:posOffset>
          </wp:positionV>
          <wp:extent cx="1421739" cy="665683"/>
          <wp:effectExtent l="19050" t="0" r="7011" b="0"/>
          <wp:wrapNone/>
          <wp:docPr id="1" name="Picture 1" descr="G:\Internal &amp; External Affairs\Public Affairs\External Affairs\Westminster\Parliamentary Brand\New brand\Logo - new brand\CRUK_Pos_CMYK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nternal &amp; External Affairs\Public Affairs\External Affairs\Westminster\Parliamentary Brand\New brand\Logo - new brand\CRUK_Pos_CMYK_300.jpg"/>
                  <pic:cNvPicPr>
                    <a:picLocks noChangeAspect="1" noChangeArrowheads="1"/>
                  </pic:cNvPicPr>
                </pic:nvPicPr>
                <pic:blipFill>
                  <a:blip r:embed="rId1"/>
                  <a:srcRect/>
                  <a:stretch>
                    <a:fillRect/>
                  </a:stretch>
                </pic:blipFill>
                <pic:spPr bwMode="auto">
                  <a:xfrm>
                    <a:off x="0" y="0"/>
                    <a:ext cx="1421739" cy="665683"/>
                  </a:xfrm>
                  <a:prstGeom prst="rect">
                    <a:avLst/>
                  </a:prstGeom>
                  <a:noFill/>
                  <a:ln w="9525">
                    <a:noFill/>
                    <a:miter lim="800000"/>
                    <a:headEnd/>
                    <a:tailEnd/>
                  </a:ln>
                </pic:spPr>
              </pic:pic>
            </a:graphicData>
          </a:graphic>
        </wp:anchor>
      </w:drawing>
    </w:r>
    <w:r w:rsidR="00B54FBB">
      <w:t>July</w:t>
    </w:r>
    <w:r w:rsidR="00555C4C">
      <w:t xml:space="preserve">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440FF"/>
    <w:multiLevelType w:val="hybridMultilevel"/>
    <w:tmpl w:val="DFE05354"/>
    <w:lvl w:ilvl="0" w:tplc="75722F5A">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E37C7"/>
    <w:multiLevelType w:val="hybridMultilevel"/>
    <w:tmpl w:val="15163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45E74"/>
    <w:multiLevelType w:val="hybridMultilevel"/>
    <w:tmpl w:val="A464359A"/>
    <w:lvl w:ilvl="0" w:tplc="41888892">
      <w:start w:val="1"/>
      <w:numFmt w:val="decimal"/>
      <w:lvlText w:val="%1."/>
      <w:lvlJc w:val="left"/>
      <w:pPr>
        <w:ind w:left="720" w:hanging="360"/>
      </w:pPr>
      <w:rPr>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B51B1C"/>
    <w:multiLevelType w:val="hybridMultilevel"/>
    <w:tmpl w:val="947CFE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3C5F31"/>
    <w:multiLevelType w:val="hybridMultilevel"/>
    <w:tmpl w:val="9F646166"/>
    <w:lvl w:ilvl="0" w:tplc="10CA6074">
      <w:start w:val="1"/>
      <w:numFmt w:val="decimal"/>
      <w:lvlText w:val="%1."/>
      <w:lvlJc w:val="left"/>
      <w:pPr>
        <w:ind w:left="720" w:hanging="360"/>
      </w:pPr>
      <w:rPr>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7E788A"/>
    <w:multiLevelType w:val="hybridMultilevel"/>
    <w:tmpl w:val="338600E6"/>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6" w15:restartNumberingAfterBreak="0">
    <w:nsid w:val="165D1130"/>
    <w:multiLevelType w:val="hybridMultilevel"/>
    <w:tmpl w:val="1D269F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70B41A6"/>
    <w:multiLevelType w:val="hybridMultilevel"/>
    <w:tmpl w:val="3D4CEEBC"/>
    <w:lvl w:ilvl="0" w:tplc="10CA6074">
      <w:start w:val="1"/>
      <w:numFmt w:val="decimal"/>
      <w:lvlText w:val="%1."/>
      <w:lvlJc w:val="left"/>
      <w:pPr>
        <w:ind w:left="720" w:hanging="360"/>
      </w:pPr>
      <w:rPr>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9D0009"/>
    <w:multiLevelType w:val="hybridMultilevel"/>
    <w:tmpl w:val="F830E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9E1002"/>
    <w:multiLevelType w:val="hybridMultilevel"/>
    <w:tmpl w:val="9B8CF1CA"/>
    <w:lvl w:ilvl="0" w:tplc="41888892">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5765E3"/>
    <w:multiLevelType w:val="hybridMultilevel"/>
    <w:tmpl w:val="30AEDF60"/>
    <w:lvl w:ilvl="0" w:tplc="1CF08288">
      <w:start w:val="1"/>
      <w:numFmt w:val="decimal"/>
      <w:lvlText w:val="%1."/>
      <w:lvlJc w:val="left"/>
      <w:pPr>
        <w:ind w:left="720" w:hanging="360"/>
      </w:pPr>
      <w:rPr>
        <w:rFonts w:asciiTheme="minorHAnsi" w:hAnsiTheme="minorHAnsi" w:cstheme="minorHAnsi" w:hint="default"/>
        <w:b w:val="0"/>
        <w:sz w:val="22"/>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EB7776"/>
    <w:multiLevelType w:val="hybridMultilevel"/>
    <w:tmpl w:val="5B2870D2"/>
    <w:lvl w:ilvl="0" w:tplc="1CF08288">
      <w:start w:val="1"/>
      <w:numFmt w:val="decimal"/>
      <w:lvlText w:val="%1."/>
      <w:lvlJc w:val="left"/>
      <w:pPr>
        <w:ind w:left="720" w:hanging="360"/>
      </w:pPr>
      <w:rPr>
        <w:rFonts w:asciiTheme="minorHAnsi" w:hAnsiTheme="minorHAnsi" w:cstheme="minorHAnsi" w:hint="default"/>
        <w:b w:val="0"/>
        <w:sz w:val="22"/>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6B1942"/>
    <w:multiLevelType w:val="hybridMultilevel"/>
    <w:tmpl w:val="3B7EA6F0"/>
    <w:lvl w:ilvl="0" w:tplc="41888892">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6B7B20"/>
    <w:multiLevelType w:val="hybridMultilevel"/>
    <w:tmpl w:val="1D56C116"/>
    <w:lvl w:ilvl="0" w:tplc="10CA6074">
      <w:start w:val="1"/>
      <w:numFmt w:val="decimal"/>
      <w:lvlText w:val="%1."/>
      <w:lvlJc w:val="left"/>
      <w:pPr>
        <w:ind w:left="720" w:hanging="360"/>
      </w:pPr>
      <w:rPr>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941CE7"/>
    <w:multiLevelType w:val="hybridMultilevel"/>
    <w:tmpl w:val="F4D41CB0"/>
    <w:lvl w:ilvl="0" w:tplc="41888892">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9B72F9"/>
    <w:multiLevelType w:val="hybridMultilevel"/>
    <w:tmpl w:val="47E8059C"/>
    <w:lvl w:ilvl="0" w:tplc="1CF08288">
      <w:start w:val="1"/>
      <w:numFmt w:val="decimal"/>
      <w:lvlText w:val="%1."/>
      <w:lvlJc w:val="left"/>
      <w:pPr>
        <w:ind w:left="720" w:hanging="360"/>
      </w:pPr>
      <w:rPr>
        <w:rFonts w:asciiTheme="minorHAnsi" w:hAnsiTheme="minorHAnsi" w:cstheme="minorHAnsi" w:hint="default"/>
        <w:b w:val="0"/>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65197C"/>
    <w:multiLevelType w:val="hybridMultilevel"/>
    <w:tmpl w:val="D698323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7A02F9"/>
    <w:multiLevelType w:val="hybridMultilevel"/>
    <w:tmpl w:val="874A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DB063B"/>
    <w:multiLevelType w:val="hybridMultilevel"/>
    <w:tmpl w:val="B2A056A0"/>
    <w:lvl w:ilvl="0" w:tplc="38FEC7F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27688F"/>
    <w:multiLevelType w:val="hybridMultilevel"/>
    <w:tmpl w:val="E8F800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7EC0852"/>
    <w:multiLevelType w:val="hybridMultilevel"/>
    <w:tmpl w:val="20BAD9D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D714ACE"/>
    <w:multiLevelType w:val="hybridMultilevel"/>
    <w:tmpl w:val="30AEDF60"/>
    <w:lvl w:ilvl="0" w:tplc="1CF08288">
      <w:start w:val="1"/>
      <w:numFmt w:val="decimal"/>
      <w:lvlText w:val="%1."/>
      <w:lvlJc w:val="left"/>
      <w:pPr>
        <w:ind w:left="720" w:hanging="360"/>
      </w:pPr>
      <w:rPr>
        <w:rFonts w:asciiTheme="minorHAnsi" w:hAnsiTheme="minorHAnsi" w:cstheme="minorHAnsi" w:hint="default"/>
        <w:b w:val="0"/>
        <w:sz w:val="22"/>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A8057C"/>
    <w:multiLevelType w:val="hybridMultilevel"/>
    <w:tmpl w:val="CB481486"/>
    <w:lvl w:ilvl="0" w:tplc="A15A76A4">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D117AA"/>
    <w:multiLevelType w:val="hybridMultilevel"/>
    <w:tmpl w:val="0246AB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FA78EF"/>
    <w:multiLevelType w:val="hybridMultilevel"/>
    <w:tmpl w:val="9CAAB84A"/>
    <w:lvl w:ilvl="0" w:tplc="08090001">
      <w:start w:val="1"/>
      <w:numFmt w:val="bullet"/>
      <w:lvlText w:val=""/>
      <w:lvlJc w:val="left"/>
      <w:pPr>
        <w:ind w:left="1440" w:hanging="360"/>
      </w:pPr>
      <w:rPr>
        <w:rFonts w:ascii="Symbol" w:hAnsi="Symbol" w:hint="default"/>
        <w:b w:val="0"/>
        <w:i w:val="0"/>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ECE76F8"/>
    <w:multiLevelType w:val="hybridMultilevel"/>
    <w:tmpl w:val="B464F0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7B0741"/>
    <w:multiLevelType w:val="hybridMultilevel"/>
    <w:tmpl w:val="E1507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0D39AD"/>
    <w:multiLevelType w:val="hybridMultilevel"/>
    <w:tmpl w:val="5364B908"/>
    <w:lvl w:ilvl="0" w:tplc="10CA6074">
      <w:start w:val="1"/>
      <w:numFmt w:val="decimal"/>
      <w:lvlText w:val="%1."/>
      <w:lvlJc w:val="left"/>
      <w:pPr>
        <w:ind w:left="720" w:hanging="360"/>
      </w:pPr>
      <w:rPr>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8006D7"/>
    <w:multiLevelType w:val="hybridMultilevel"/>
    <w:tmpl w:val="3D4CEEBC"/>
    <w:lvl w:ilvl="0" w:tplc="10CA6074">
      <w:start w:val="1"/>
      <w:numFmt w:val="decimal"/>
      <w:lvlText w:val="%1."/>
      <w:lvlJc w:val="left"/>
      <w:pPr>
        <w:ind w:left="720" w:hanging="360"/>
      </w:pPr>
      <w:rPr>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046302"/>
    <w:multiLevelType w:val="multilevel"/>
    <w:tmpl w:val="28606F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62210F"/>
    <w:multiLevelType w:val="hybridMultilevel"/>
    <w:tmpl w:val="F8C06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A72CF5"/>
    <w:multiLevelType w:val="hybridMultilevel"/>
    <w:tmpl w:val="955A2B38"/>
    <w:lvl w:ilvl="0" w:tplc="41888892">
      <w:start w:val="1"/>
      <w:numFmt w:val="decimal"/>
      <w:lvlText w:val="%1."/>
      <w:lvlJc w:val="left"/>
      <w:pPr>
        <w:ind w:left="720" w:hanging="360"/>
      </w:pPr>
      <w:rPr>
        <w:b w:val="0"/>
        <w:i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0EF742D"/>
    <w:multiLevelType w:val="hybridMultilevel"/>
    <w:tmpl w:val="81D2D6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E153FE"/>
    <w:multiLevelType w:val="hybridMultilevel"/>
    <w:tmpl w:val="3D4CEEBC"/>
    <w:lvl w:ilvl="0" w:tplc="10CA6074">
      <w:start w:val="1"/>
      <w:numFmt w:val="decimal"/>
      <w:lvlText w:val="%1."/>
      <w:lvlJc w:val="left"/>
      <w:pPr>
        <w:ind w:left="720" w:hanging="360"/>
      </w:pPr>
      <w:rPr>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818366D"/>
    <w:multiLevelType w:val="hybridMultilevel"/>
    <w:tmpl w:val="75C0E9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044D5E"/>
    <w:multiLevelType w:val="hybridMultilevel"/>
    <w:tmpl w:val="6EEA67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3C19EE"/>
    <w:multiLevelType w:val="hybridMultilevel"/>
    <w:tmpl w:val="F46C52E0"/>
    <w:lvl w:ilvl="0" w:tplc="10CA6074">
      <w:start w:val="1"/>
      <w:numFmt w:val="decimal"/>
      <w:lvlText w:val="%1."/>
      <w:lvlJc w:val="left"/>
      <w:pPr>
        <w:ind w:left="720" w:hanging="360"/>
      </w:pPr>
      <w:rPr>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0B64A71"/>
    <w:multiLevelType w:val="hybridMultilevel"/>
    <w:tmpl w:val="28B27E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23E12B8"/>
    <w:multiLevelType w:val="hybridMultilevel"/>
    <w:tmpl w:val="C2E0C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4759DC"/>
    <w:multiLevelType w:val="hybridMultilevel"/>
    <w:tmpl w:val="26C84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BCF007E"/>
    <w:multiLevelType w:val="hybridMultilevel"/>
    <w:tmpl w:val="E7D0A7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EB1EAA"/>
    <w:multiLevelType w:val="hybridMultilevel"/>
    <w:tmpl w:val="11183670"/>
    <w:lvl w:ilvl="0" w:tplc="10CA6074">
      <w:start w:val="1"/>
      <w:numFmt w:val="decimal"/>
      <w:lvlText w:val="%1."/>
      <w:lvlJc w:val="left"/>
      <w:pPr>
        <w:ind w:left="720" w:hanging="360"/>
      </w:pPr>
      <w:rPr>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6"/>
  </w:num>
  <w:num w:numId="3">
    <w:abstractNumId w:val="39"/>
  </w:num>
  <w:num w:numId="4">
    <w:abstractNumId w:val="40"/>
  </w:num>
  <w:num w:numId="5">
    <w:abstractNumId w:val="31"/>
  </w:num>
  <w:num w:numId="6">
    <w:abstractNumId w:val="3"/>
  </w:num>
  <w:num w:numId="7">
    <w:abstractNumId w:val="30"/>
  </w:num>
  <w:num w:numId="8">
    <w:abstractNumId w:val="1"/>
  </w:num>
  <w:num w:numId="9">
    <w:abstractNumId w:val="32"/>
  </w:num>
  <w:num w:numId="10">
    <w:abstractNumId w:val="0"/>
  </w:num>
  <w:num w:numId="11">
    <w:abstractNumId w:val="8"/>
  </w:num>
  <w:num w:numId="12">
    <w:abstractNumId w:val="8"/>
  </w:num>
  <w:num w:numId="13">
    <w:abstractNumId w:val="5"/>
  </w:num>
  <w:num w:numId="14">
    <w:abstractNumId w:val="12"/>
  </w:num>
  <w:num w:numId="15">
    <w:abstractNumId w:val="29"/>
  </w:num>
  <w:num w:numId="16">
    <w:abstractNumId w:val="37"/>
  </w:num>
  <w:num w:numId="17">
    <w:abstractNumId w:val="25"/>
  </w:num>
  <w:num w:numId="18">
    <w:abstractNumId w:val="2"/>
  </w:num>
  <w:num w:numId="19">
    <w:abstractNumId w:val="9"/>
  </w:num>
  <w:num w:numId="20">
    <w:abstractNumId w:val="38"/>
  </w:num>
  <w:num w:numId="21">
    <w:abstractNumId w:val="34"/>
  </w:num>
  <w:num w:numId="22">
    <w:abstractNumId w:val="16"/>
  </w:num>
  <w:num w:numId="23">
    <w:abstractNumId w:val="17"/>
  </w:num>
  <w:num w:numId="24">
    <w:abstractNumId w:val="24"/>
  </w:num>
  <w:num w:numId="25">
    <w:abstractNumId w:val="14"/>
  </w:num>
  <w:num w:numId="26">
    <w:abstractNumId w:val="20"/>
  </w:num>
  <w:num w:numId="27">
    <w:abstractNumId w:val="19"/>
  </w:num>
  <w:num w:numId="28">
    <w:abstractNumId w:val="15"/>
  </w:num>
  <w:num w:numId="29">
    <w:abstractNumId w:val="26"/>
  </w:num>
  <w:num w:numId="30">
    <w:abstractNumId w:val="35"/>
  </w:num>
  <w:num w:numId="31">
    <w:abstractNumId w:val="13"/>
  </w:num>
  <w:num w:numId="32">
    <w:abstractNumId w:val="10"/>
  </w:num>
  <w:num w:numId="33">
    <w:abstractNumId w:val="18"/>
  </w:num>
  <w:num w:numId="34">
    <w:abstractNumId w:val="21"/>
  </w:num>
  <w:num w:numId="35">
    <w:abstractNumId w:val="11"/>
  </w:num>
  <w:num w:numId="36">
    <w:abstractNumId w:val="27"/>
  </w:num>
  <w:num w:numId="37">
    <w:abstractNumId w:val="28"/>
  </w:num>
  <w:num w:numId="38">
    <w:abstractNumId w:val="36"/>
  </w:num>
  <w:num w:numId="39">
    <w:abstractNumId w:val="41"/>
  </w:num>
  <w:num w:numId="40">
    <w:abstractNumId w:val="7"/>
  </w:num>
  <w:num w:numId="41">
    <w:abstractNumId w:val="33"/>
  </w:num>
  <w:num w:numId="42">
    <w:abstractNumId w:val="4"/>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376"/>
    <w:rsid w:val="00006901"/>
    <w:rsid w:val="00016712"/>
    <w:rsid w:val="00024741"/>
    <w:rsid w:val="00025346"/>
    <w:rsid w:val="00025B25"/>
    <w:rsid w:val="00032BBA"/>
    <w:rsid w:val="00041FCF"/>
    <w:rsid w:val="0004395E"/>
    <w:rsid w:val="00044C59"/>
    <w:rsid w:val="000515C9"/>
    <w:rsid w:val="00053894"/>
    <w:rsid w:val="00053A9F"/>
    <w:rsid w:val="00054854"/>
    <w:rsid w:val="0005760D"/>
    <w:rsid w:val="000B06E5"/>
    <w:rsid w:val="000B7B69"/>
    <w:rsid w:val="000C00B6"/>
    <w:rsid w:val="000C23D9"/>
    <w:rsid w:val="000D07E3"/>
    <w:rsid w:val="000E0D92"/>
    <w:rsid w:val="000E3A52"/>
    <w:rsid w:val="00117EE8"/>
    <w:rsid w:val="00123884"/>
    <w:rsid w:val="00143578"/>
    <w:rsid w:val="00146919"/>
    <w:rsid w:val="00157E30"/>
    <w:rsid w:val="00163CED"/>
    <w:rsid w:val="00187407"/>
    <w:rsid w:val="001A093F"/>
    <w:rsid w:val="001A1F41"/>
    <w:rsid w:val="001A2062"/>
    <w:rsid w:val="001A6EDF"/>
    <w:rsid w:val="001B2C36"/>
    <w:rsid w:val="001B5195"/>
    <w:rsid w:val="001B6116"/>
    <w:rsid w:val="001C0954"/>
    <w:rsid w:val="001D3516"/>
    <w:rsid w:val="001D5511"/>
    <w:rsid w:val="001E3F61"/>
    <w:rsid w:val="001F1D11"/>
    <w:rsid w:val="00203156"/>
    <w:rsid w:val="00217BBC"/>
    <w:rsid w:val="00225958"/>
    <w:rsid w:val="00232405"/>
    <w:rsid w:val="00235A3B"/>
    <w:rsid w:val="00250EEE"/>
    <w:rsid w:val="00253677"/>
    <w:rsid w:val="00291E38"/>
    <w:rsid w:val="002B0929"/>
    <w:rsid w:val="002B6463"/>
    <w:rsid w:val="002D1B87"/>
    <w:rsid w:val="002D2404"/>
    <w:rsid w:val="002E3C1C"/>
    <w:rsid w:val="002E64D7"/>
    <w:rsid w:val="002F4448"/>
    <w:rsid w:val="0031434A"/>
    <w:rsid w:val="0031552A"/>
    <w:rsid w:val="00321D3C"/>
    <w:rsid w:val="003225ED"/>
    <w:rsid w:val="00322E77"/>
    <w:rsid w:val="0035670E"/>
    <w:rsid w:val="0036235D"/>
    <w:rsid w:val="003623CC"/>
    <w:rsid w:val="003801AF"/>
    <w:rsid w:val="003A40DF"/>
    <w:rsid w:val="003A5624"/>
    <w:rsid w:val="003C39A8"/>
    <w:rsid w:val="003C4F1E"/>
    <w:rsid w:val="003C58AD"/>
    <w:rsid w:val="003F0A84"/>
    <w:rsid w:val="003F3C9B"/>
    <w:rsid w:val="003F6FB5"/>
    <w:rsid w:val="00422AD2"/>
    <w:rsid w:val="0042352D"/>
    <w:rsid w:val="00426D4A"/>
    <w:rsid w:val="00443A35"/>
    <w:rsid w:val="004510C8"/>
    <w:rsid w:val="004521D0"/>
    <w:rsid w:val="004628C1"/>
    <w:rsid w:val="00476CFB"/>
    <w:rsid w:val="00482DAA"/>
    <w:rsid w:val="004B7A69"/>
    <w:rsid w:val="004D31B8"/>
    <w:rsid w:val="004F7F19"/>
    <w:rsid w:val="00500935"/>
    <w:rsid w:val="0050587E"/>
    <w:rsid w:val="00513C56"/>
    <w:rsid w:val="00513D6B"/>
    <w:rsid w:val="00523D29"/>
    <w:rsid w:val="00542992"/>
    <w:rsid w:val="0054539A"/>
    <w:rsid w:val="005551B2"/>
    <w:rsid w:val="00555C4C"/>
    <w:rsid w:val="00560987"/>
    <w:rsid w:val="0056570A"/>
    <w:rsid w:val="00583483"/>
    <w:rsid w:val="0058479F"/>
    <w:rsid w:val="00593B40"/>
    <w:rsid w:val="005A1096"/>
    <w:rsid w:val="005D004D"/>
    <w:rsid w:val="005D04F1"/>
    <w:rsid w:val="005D599F"/>
    <w:rsid w:val="005E5B3B"/>
    <w:rsid w:val="00616737"/>
    <w:rsid w:val="0062568F"/>
    <w:rsid w:val="00630D02"/>
    <w:rsid w:val="00644FBA"/>
    <w:rsid w:val="006621F2"/>
    <w:rsid w:val="00665BFB"/>
    <w:rsid w:val="00673B9D"/>
    <w:rsid w:val="00675BE8"/>
    <w:rsid w:val="0067737B"/>
    <w:rsid w:val="006957ED"/>
    <w:rsid w:val="006972F9"/>
    <w:rsid w:val="006C168E"/>
    <w:rsid w:val="006F5F3A"/>
    <w:rsid w:val="006F6293"/>
    <w:rsid w:val="006F69CB"/>
    <w:rsid w:val="0070662A"/>
    <w:rsid w:val="00721B1F"/>
    <w:rsid w:val="00740995"/>
    <w:rsid w:val="0076036A"/>
    <w:rsid w:val="00760C63"/>
    <w:rsid w:val="007A44C5"/>
    <w:rsid w:val="007B553D"/>
    <w:rsid w:val="007C158C"/>
    <w:rsid w:val="007C19F3"/>
    <w:rsid w:val="007C3DBC"/>
    <w:rsid w:val="007D7A5D"/>
    <w:rsid w:val="007E49CB"/>
    <w:rsid w:val="007F04E7"/>
    <w:rsid w:val="008064A9"/>
    <w:rsid w:val="008168CA"/>
    <w:rsid w:val="00822A70"/>
    <w:rsid w:val="008319E6"/>
    <w:rsid w:val="0083303B"/>
    <w:rsid w:val="00852B48"/>
    <w:rsid w:val="008A2D3C"/>
    <w:rsid w:val="008B19B9"/>
    <w:rsid w:val="008E7DF5"/>
    <w:rsid w:val="00903ADB"/>
    <w:rsid w:val="0090445B"/>
    <w:rsid w:val="00905EB6"/>
    <w:rsid w:val="009133D4"/>
    <w:rsid w:val="00945F94"/>
    <w:rsid w:val="009465B2"/>
    <w:rsid w:val="009466BA"/>
    <w:rsid w:val="00956257"/>
    <w:rsid w:val="00964DAE"/>
    <w:rsid w:val="00982BD0"/>
    <w:rsid w:val="00986A25"/>
    <w:rsid w:val="00994772"/>
    <w:rsid w:val="009A3E50"/>
    <w:rsid w:val="009A5F9D"/>
    <w:rsid w:val="009A601B"/>
    <w:rsid w:val="009B68EA"/>
    <w:rsid w:val="009B7E77"/>
    <w:rsid w:val="00A13893"/>
    <w:rsid w:val="00A34A70"/>
    <w:rsid w:val="00A40822"/>
    <w:rsid w:val="00A40877"/>
    <w:rsid w:val="00A51376"/>
    <w:rsid w:val="00A57D47"/>
    <w:rsid w:val="00A70141"/>
    <w:rsid w:val="00A772B4"/>
    <w:rsid w:val="00A81FF8"/>
    <w:rsid w:val="00A84F50"/>
    <w:rsid w:val="00A9519E"/>
    <w:rsid w:val="00AA04DC"/>
    <w:rsid w:val="00AA216D"/>
    <w:rsid w:val="00AA23E5"/>
    <w:rsid w:val="00AE0732"/>
    <w:rsid w:val="00AE29B9"/>
    <w:rsid w:val="00AE7BFD"/>
    <w:rsid w:val="00B0126B"/>
    <w:rsid w:val="00B02BC0"/>
    <w:rsid w:val="00B0605C"/>
    <w:rsid w:val="00B214D0"/>
    <w:rsid w:val="00B36911"/>
    <w:rsid w:val="00B54615"/>
    <w:rsid w:val="00B54FBB"/>
    <w:rsid w:val="00B71FB1"/>
    <w:rsid w:val="00B80E16"/>
    <w:rsid w:val="00B84670"/>
    <w:rsid w:val="00B85371"/>
    <w:rsid w:val="00B9374B"/>
    <w:rsid w:val="00B9614B"/>
    <w:rsid w:val="00BA551D"/>
    <w:rsid w:val="00BC64EF"/>
    <w:rsid w:val="00BD00A0"/>
    <w:rsid w:val="00C17E2B"/>
    <w:rsid w:val="00C21EFE"/>
    <w:rsid w:val="00C2269F"/>
    <w:rsid w:val="00C55788"/>
    <w:rsid w:val="00C56870"/>
    <w:rsid w:val="00C8164E"/>
    <w:rsid w:val="00C87AB0"/>
    <w:rsid w:val="00CA7AC2"/>
    <w:rsid w:val="00CB06EF"/>
    <w:rsid w:val="00CB59B4"/>
    <w:rsid w:val="00CC110D"/>
    <w:rsid w:val="00CD572C"/>
    <w:rsid w:val="00CE0760"/>
    <w:rsid w:val="00CF567E"/>
    <w:rsid w:val="00D05451"/>
    <w:rsid w:val="00D3414C"/>
    <w:rsid w:val="00D37CC2"/>
    <w:rsid w:val="00D41502"/>
    <w:rsid w:val="00D449F7"/>
    <w:rsid w:val="00D506D5"/>
    <w:rsid w:val="00D50883"/>
    <w:rsid w:val="00D51B40"/>
    <w:rsid w:val="00D54A1E"/>
    <w:rsid w:val="00D80FE6"/>
    <w:rsid w:val="00DA5FE9"/>
    <w:rsid w:val="00DB00CB"/>
    <w:rsid w:val="00DB4206"/>
    <w:rsid w:val="00DD574A"/>
    <w:rsid w:val="00DE4C85"/>
    <w:rsid w:val="00DF72A4"/>
    <w:rsid w:val="00E06222"/>
    <w:rsid w:val="00E10FD8"/>
    <w:rsid w:val="00E13625"/>
    <w:rsid w:val="00E1782E"/>
    <w:rsid w:val="00E22DF0"/>
    <w:rsid w:val="00E27EEE"/>
    <w:rsid w:val="00E54798"/>
    <w:rsid w:val="00E77319"/>
    <w:rsid w:val="00EA6C79"/>
    <w:rsid w:val="00EB351C"/>
    <w:rsid w:val="00EC2152"/>
    <w:rsid w:val="00EE038F"/>
    <w:rsid w:val="00EF4E6D"/>
    <w:rsid w:val="00EF73C5"/>
    <w:rsid w:val="00F15042"/>
    <w:rsid w:val="00F22FAD"/>
    <w:rsid w:val="00F23D37"/>
    <w:rsid w:val="00F24FF1"/>
    <w:rsid w:val="00F26F3C"/>
    <w:rsid w:val="00F47B73"/>
    <w:rsid w:val="00F545F9"/>
    <w:rsid w:val="00F55477"/>
    <w:rsid w:val="00F6220B"/>
    <w:rsid w:val="00F62F98"/>
    <w:rsid w:val="00F65BCE"/>
    <w:rsid w:val="00F97C73"/>
    <w:rsid w:val="00FA091F"/>
    <w:rsid w:val="00FA549D"/>
    <w:rsid w:val="00FA6937"/>
    <w:rsid w:val="00FE2C34"/>
    <w:rsid w:val="00FE3C04"/>
    <w:rsid w:val="00FF1A50"/>
    <w:rsid w:val="00FF5521"/>
    <w:rsid w:val="00FF69CF"/>
    <w:rsid w:val="00FF7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2B4E82"/>
  <w15:chartTrackingRefBased/>
  <w15:docId w15:val="{C3798103-0A07-42A7-B838-489087402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2F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ed list"/>
    <w:basedOn w:val="Normal"/>
    <w:uiPriority w:val="34"/>
    <w:qFormat/>
    <w:rsid w:val="00322E77"/>
    <w:pPr>
      <w:ind w:left="720"/>
      <w:contextualSpacing/>
    </w:pPr>
  </w:style>
  <w:style w:type="paragraph" w:styleId="FootnoteText">
    <w:name w:val="footnote text"/>
    <w:basedOn w:val="Normal"/>
    <w:link w:val="FootnoteTextChar"/>
    <w:uiPriority w:val="99"/>
    <w:unhideWhenUsed/>
    <w:rsid w:val="00CC110D"/>
    <w:pPr>
      <w:spacing w:after="0" w:line="240" w:lineRule="auto"/>
    </w:pPr>
    <w:rPr>
      <w:sz w:val="20"/>
      <w:szCs w:val="20"/>
    </w:rPr>
  </w:style>
  <w:style w:type="character" w:customStyle="1" w:styleId="FootnoteTextChar">
    <w:name w:val="Footnote Text Char"/>
    <w:basedOn w:val="DefaultParagraphFont"/>
    <w:link w:val="FootnoteText"/>
    <w:uiPriority w:val="99"/>
    <w:rsid w:val="00CC110D"/>
    <w:rPr>
      <w:sz w:val="20"/>
      <w:szCs w:val="20"/>
    </w:rPr>
  </w:style>
  <w:style w:type="character" w:styleId="FootnoteReference">
    <w:name w:val="footnote reference"/>
    <w:basedOn w:val="DefaultParagraphFont"/>
    <w:uiPriority w:val="99"/>
    <w:unhideWhenUsed/>
    <w:rsid w:val="00CC110D"/>
    <w:rPr>
      <w:vertAlign w:val="superscript"/>
    </w:rPr>
  </w:style>
  <w:style w:type="character" w:styleId="CommentReference">
    <w:name w:val="annotation reference"/>
    <w:basedOn w:val="DefaultParagraphFont"/>
    <w:uiPriority w:val="99"/>
    <w:semiHidden/>
    <w:unhideWhenUsed/>
    <w:rsid w:val="00630D02"/>
    <w:rPr>
      <w:sz w:val="16"/>
      <w:szCs w:val="16"/>
    </w:rPr>
  </w:style>
  <w:style w:type="paragraph" w:styleId="CommentText">
    <w:name w:val="annotation text"/>
    <w:basedOn w:val="Normal"/>
    <w:link w:val="CommentTextChar"/>
    <w:uiPriority w:val="99"/>
    <w:semiHidden/>
    <w:unhideWhenUsed/>
    <w:rsid w:val="00630D02"/>
    <w:pPr>
      <w:spacing w:line="240" w:lineRule="auto"/>
    </w:pPr>
    <w:rPr>
      <w:sz w:val="20"/>
      <w:szCs w:val="20"/>
    </w:rPr>
  </w:style>
  <w:style w:type="character" w:customStyle="1" w:styleId="CommentTextChar">
    <w:name w:val="Comment Text Char"/>
    <w:basedOn w:val="DefaultParagraphFont"/>
    <w:link w:val="CommentText"/>
    <w:uiPriority w:val="99"/>
    <w:semiHidden/>
    <w:rsid w:val="00630D02"/>
    <w:rPr>
      <w:sz w:val="20"/>
      <w:szCs w:val="20"/>
    </w:rPr>
  </w:style>
  <w:style w:type="paragraph" w:styleId="CommentSubject">
    <w:name w:val="annotation subject"/>
    <w:basedOn w:val="CommentText"/>
    <w:next w:val="CommentText"/>
    <w:link w:val="CommentSubjectChar"/>
    <w:uiPriority w:val="99"/>
    <w:semiHidden/>
    <w:unhideWhenUsed/>
    <w:rsid w:val="00630D02"/>
    <w:rPr>
      <w:b/>
      <w:bCs/>
    </w:rPr>
  </w:style>
  <w:style w:type="character" w:customStyle="1" w:styleId="CommentSubjectChar">
    <w:name w:val="Comment Subject Char"/>
    <w:basedOn w:val="CommentTextChar"/>
    <w:link w:val="CommentSubject"/>
    <w:uiPriority w:val="99"/>
    <w:semiHidden/>
    <w:rsid w:val="00630D02"/>
    <w:rPr>
      <w:b/>
      <w:bCs/>
      <w:sz w:val="20"/>
      <w:szCs w:val="20"/>
    </w:rPr>
  </w:style>
  <w:style w:type="paragraph" w:styleId="BalloonText">
    <w:name w:val="Balloon Text"/>
    <w:basedOn w:val="Normal"/>
    <w:link w:val="BalloonTextChar"/>
    <w:uiPriority w:val="99"/>
    <w:semiHidden/>
    <w:unhideWhenUsed/>
    <w:rsid w:val="00630D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D02"/>
    <w:rPr>
      <w:rFonts w:ascii="Segoe UI" w:hAnsi="Segoe UI" w:cs="Segoe UI"/>
      <w:sz w:val="18"/>
      <w:szCs w:val="18"/>
    </w:rPr>
  </w:style>
  <w:style w:type="paragraph" w:customStyle="1" w:styleId="Default">
    <w:name w:val="Default"/>
    <w:rsid w:val="00F62F98"/>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F62F98"/>
    <w:pPr>
      <w:spacing w:after="0" w:line="240" w:lineRule="auto"/>
    </w:pPr>
  </w:style>
  <w:style w:type="paragraph" w:styleId="Title">
    <w:name w:val="Title"/>
    <w:basedOn w:val="Normal"/>
    <w:next w:val="Normal"/>
    <w:link w:val="TitleChar"/>
    <w:uiPriority w:val="10"/>
    <w:qFormat/>
    <w:rsid w:val="00F62F9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2F9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62F98"/>
    <w:rPr>
      <w:rFonts w:asciiTheme="majorHAnsi" w:eastAsiaTheme="majorEastAsia" w:hAnsiTheme="majorHAnsi" w:cstheme="majorBidi"/>
      <w:color w:val="2E74B5" w:themeColor="accent1" w:themeShade="BF"/>
      <w:sz w:val="32"/>
      <w:szCs w:val="32"/>
    </w:rPr>
  </w:style>
  <w:style w:type="character" w:styleId="EndnoteReference">
    <w:name w:val="endnote reference"/>
    <w:basedOn w:val="DefaultParagraphFont"/>
    <w:uiPriority w:val="99"/>
    <w:unhideWhenUsed/>
    <w:rsid w:val="003623CC"/>
    <w:rPr>
      <w:vertAlign w:val="superscript"/>
    </w:rPr>
  </w:style>
  <w:style w:type="paragraph" w:styleId="Quote">
    <w:name w:val="Quote"/>
    <w:basedOn w:val="Normal"/>
    <w:next w:val="Normal"/>
    <w:link w:val="QuoteChar"/>
    <w:uiPriority w:val="29"/>
    <w:qFormat/>
    <w:rsid w:val="004F7F1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F7F19"/>
    <w:rPr>
      <w:i/>
      <w:iCs/>
      <w:color w:val="404040" w:themeColor="text1" w:themeTint="BF"/>
    </w:rPr>
  </w:style>
  <w:style w:type="paragraph" w:styleId="EndnoteText">
    <w:name w:val="endnote text"/>
    <w:basedOn w:val="Normal"/>
    <w:link w:val="EndnoteTextChar"/>
    <w:uiPriority w:val="99"/>
    <w:semiHidden/>
    <w:unhideWhenUsed/>
    <w:rsid w:val="0062568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2568F"/>
    <w:rPr>
      <w:sz w:val="20"/>
      <w:szCs w:val="20"/>
    </w:rPr>
  </w:style>
  <w:style w:type="character" w:styleId="Hyperlink">
    <w:name w:val="Hyperlink"/>
    <w:basedOn w:val="DefaultParagraphFont"/>
    <w:uiPriority w:val="99"/>
    <w:unhideWhenUsed/>
    <w:rsid w:val="00E1782E"/>
    <w:rPr>
      <w:color w:val="0563C1" w:themeColor="hyperlink"/>
      <w:u w:val="single"/>
    </w:rPr>
  </w:style>
  <w:style w:type="paragraph" w:customStyle="1" w:styleId="p1">
    <w:name w:val="p1"/>
    <w:basedOn w:val="Normal"/>
    <w:rsid w:val="00E1782E"/>
    <w:pPr>
      <w:spacing w:after="0" w:line="240" w:lineRule="auto"/>
    </w:pPr>
    <w:rPr>
      <w:rFonts w:ascii="Arial" w:hAnsi="Arial" w:cs="Arial"/>
      <w:sz w:val="15"/>
      <w:szCs w:val="15"/>
      <w:lang w:eastAsia="en-GB"/>
    </w:rPr>
  </w:style>
  <w:style w:type="character" w:styleId="Emphasis">
    <w:name w:val="Emphasis"/>
    <w:basedOn w:val="DefaultParagraphFont"/>
    <w:uiPriority w:val="20"/>
    <w:qFormat/>
    <w:rsid w:val="00025B25"/>
    <w:rPr>
      <w:i/>
      <w:iCs/>
    </w:rPr>
  </w:style>
  <w:style w:type="paragraph" w:styleId="Header">
    <w:name w:val="header"/>
    <w:basedOn w:val="Normal"/>
    <w:link w:val="HeaderChar"/>
    <w:uiPriority w:val="99"/>
    <w:unhideWhenUsed/>
    <w:rsid w:val="00E22D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2DF0"/>
  </w:style>
  <w:style w:type="paragraph" w:styleId="Footer">
    <w:name w:val="footer"/>
    <w:basedOn w:val="Normal"/>
    <w:link w:val="FooterChar"/>
    <w:uiPriority w:val="99"/>
    <w:unhideWhenUsed/>
    <w:rsid w:val="00E22D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2DF0"/>
  </w:style>
  <w:style w:type="character" w:styleId="FollowedHyperlink">
    <w:name w:val="FollowedHyperlink"/>
    <w:basedOn w:val="DefaultParagraphFont"/>
    <w:uiPriority w:val="99"/>
    <w:semiHidden/>
    <w:unhideWhenUsed/>
    <w:rsid w:val="00CE0760"/>
    <w:rPr>
      <w:color w:val="954F72" w:themeColor="followedHyperlink"/>
      <w:u w:val="single"/>
    </w:rPr>
  </w:style>
  <w:style w:type="character" w:customStyle="1" w:styleId="UnresolvedMention1">
    <w:name w:val="Unresolved Mention1"/>
    <w:basedOn w:val="DefaultParagraphFont"/>
    <w:uiPriority w:val="99"/>
    <w:semiHidden/>
    <w:unhideWhenUsed/>
    <w:rsid w:val="00CE0760"/>
    <w:rPr>
      <w:color w:val="808080"/>
      <w:shd w:val="clear" w:color="auto" w:fill="E6E6E6"/>
    </w:rPr>
  </w:style>
  <w:style w:type="character" w:customStyle="1" w:styleId="UnresolvedMention2">
    <w:name w:val="Unresolved Mention2"/>
    <w:basedOn w:val="DefaultParagraphFont"/>
    <w:uiPriority w:val="99"/>
    <w:semiHidden/>
    <w:unhideWhenUsed/>
    <w:rsid w:val="002B6463"/>
    <w:rPr>
      <w:color w:val="808080"/>
      <w:shd w:val="clear" w:color="auto" w:fill="E6E6E6"/>
    </w:rPr>
  </w:style>
  <w:style w:type="character" w:styleId="UnresolvedMention">
    <w:name w:val="Unresolved Mention"/>
    <w:basedOn w:val="DefaultParagraphFont"/>
    <w:uiPriority w:val="99"/>
    <w:semiHidden/>
    <w:unhideWhenUsed/>
    <w:rsid w:val="00041FC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21903">
      <w:bodyDiv w:val="1"/>
      <w:marLeft w:val="0"/>
      <w:marRight w:val="0"/>
      <w:marTop w:val="0"/>
      <w:marBottom w:val="0"/>
      <w:divBdr>
        <w:top w:val="none" w:sz="0" w:space="0" w:color="auto"/>
        <w:left w:val="none" w:sz="0" w:space="0" w:color="auto"/>
        <w:bottom w:val="none" w:sz="0" w:space="0" w:color="auto"/>
        <w:right w:val="none" w:sz="0" w:space="0" w:color="auto"/>
      </w:divBdr>
    </w:div>
    <w:div w:id="68819011">
      <w:bodyDiv w:val="1"/>
      <w:marLeft w:val="0"/>
      <w:marRight w:val="0"/>
      <w:marTop w:val="0"/>
      <w:marBottom w:val="0"/>
      <w:divBdr>
        <w:top w:val="none" w:sz="0" w:space="0" w:color="auto"/>
        <w:left w:val="none" w:sz="0" w:space="0" w:color="auto"/>
        <w:bottom w:val="none" w:sz="0" w:space="0" w:color="auto"/>
        <w:right w:val="none" w:sz="0" w:space="0" w:color="auto"/>
      </w:divBdr>
    </w:div>
    <w:div w:id="144247992">
      <w:bodyDiv w:val="1"/>
      <w:marLeft w:val="0"/>
      <w:marRight w:val="0"/>
      <w:marTop w:val="0"/>
      <w:marBottom w:val="0"/>
      <w:divBdr>
        <w:top w:val="none" w:sz="0" w:space="0" w:color="auto"/>
        <w:left w:val="none" w:sz="0" w:space="0" w:color="auto"/>
        <w:bottom w:val="none" w:sz="0" w:space="0" w:color="auto"/>
        <w:right w:val="none" w:sz="0" w:space="0" w:color="auto"/>
      </w:divBdr>
    </w:div>
    <w:div w:id="341248152">
      <w:bodyDiv w:val="1"/>
      <w:marLeft w:val="0"/>
      <w:marRight w:val="0"/>
      <w:marTop w:val="0"/>
      <w:marBottom w:val="0"/>
      <w:divBdr>
        <w:top w:val="none" w:sz="0" w:space="0" w:color="auto"/>
        <w:left w:val="none" w:sz="0" w:space="0" w:color="auto"/>
        <w:bottom w:val="none" w:sz="0" w:space="0" w:color="auto"/>
        <w:right w:val="none" w:sz="0" w:space="0" w:color="auto"/>
      </w:divBdr>
    </w:div>
    <w:div w:id="1093623851">
      <w:bodyDiv w:val="1"/>
      <w:marLeft w:val="0"/>
      <w:marRight w:val="0"/>
      <w:marTop w:val="0"/>
      <w:marBottom w:val="0"/>
      <w:divBdr>
        <w:top w:val="none" w:sz="0" w:space="0" w:color="auto"/>
        <w:left w:val="none" w:sz="0" w:space="0" w:color="auto"/>
        <w:bottom w:val="none" w:sz="0" w:space="0" w:color="auto"/>
        <w:right w:val="none" w:sz="0" w:space="0" w:color="auto"/>
      </w:divBdr>
    </w:div>
    <w:div w:id="1170948707">
      <w:bodyDiv w:val="1"/>
      <w:marLeft w:val="0"/>
      <w:marRight w:val="0"/>
      <w:marTop w:val="0"/>
      <w:marBottom w:val="0"/>
      <w:divBdr>
        <w:top w:val="none" w:sz="0" w:space="0" w:color="auto"/>
        <w:left w:val="none" w:sz="0" w:space="0" w:color="auto"/>
        <w:bottom w:val="none" w:sz="0" w:space="0" w:color="auto"/>
        <w:right w:val="none" w:sz="0" w:space="0" w:color="auto"/>
      </w:divBdr>
    </w:div>
    <w:div w:id="1241522015">
      <w:bodyDiv w:val="1"/>
      <w:marLeft w:val="0"/>
      <w:marRight w:val="0"/>
      <w:marTop w:val="0"/>
      <w:marBottom w:val="0"/>
      <w:divBdr>
        <w:top w:val="none" w:sz="0" w:space="0" w:color="auto"/>
        <w:left w:val="none" w:sz="0" w:space="0" w:color="auto"/>
        <w:bottom w:val="none" w:sz="0" w:space="0" w:color="auto"/>
        <w:right w:val="none" w:sz="0" w:space="0" w:color="auto"/>
      </w:divBdr>
    </w:div>
    <w:div w:id="1250045795">
      <w:bodyDiv w:val="1"/>
      <w:marLeft w:val="0"/>
      <w:marRight w:val="0"/>
      <w:marTop w:val="0"/>
      <w:marBottom w:val="0"/>
      <w:divBdr>
        <w:top w:val="none" w:sz="0" w:space="0" w:color="auto"/>
        <w:left w:val="none" w:sz="0" w:space="0" w:color="auto"/>
        <w:bottom w:val="none" w:sz="0" w:space="0" w:color="auto"/>
        <w:right w:val="none" w:sz="0" w:space="0" w:color="auto"/>
      </w:divBdr>
    </w:div>
    <w:div w:id="1537084697">
      <w:bodyDiv w:val="1"/>
      <w:marLeft w:val="0"/>
      <w:marRight w:val="0"/>
      <w:marTop w:val="0"/>
      <w:marBottom w:val="0"/>
      <w:divBdr>
        <w:top w:val="none" w:sz="0" w:space="0" w:color="auto"/>
        <w:left w:val="none" w:sz="0" w:space="0" w:color="auto"/>
        <w:bottom w:val="none" w:sz="0" w:space="0" w:color="auto"/>
        <w:right w:val="none" w:sz="0" w:space="0" w:color="auto"/>
      </w:divBdr>
      <w:divsChild>
        <w:div w:id="1138643846">
          <w:marLeft w:val="0"/>
          <w:marRight w:val="0"/>
          <w:marTop w:val="0"/>
          <w:marBottom w:val="0"/>
          <w:divBdr>
            <w:top w:val="none" w:sz="0" w:space="0" w:color="auto"/>
            <w:left w:val="none" w:sz="0" w:space="0" w:color="auto"/>
            <w:bottom w:val="none" w:sz="0" w:space="0" w:color="auto"/>
            <w:right w:val="none" w:sz="0" w:space="0" w:color="auto"/>
          </w:divBdr>
          <w:divsChild>
            <w:div w:id="2017876733">
              <w:marLeft w:val="0"/>
              <w:marRight w:val="0"/>
              <w:marTop w:val="0"/>
              <w:marBottom w:val="0"/>
              <w:divBdr>
                <w:top w:val="none" w:sz="0" w:space="0" w:color="auto"/>
                <w:left w:val="none" w:sz="0" w:space="0" w:color="auto"/>
                <w:bottom w:val="none" w:sz="0" w:space="0" w:color="auto"/>
                <w:right w:val="none" w:sz="0" w:space="0" w:color="auto"/>
              </w:divBdr>
              <w:divsChild>
                <w:div w:id="975061146">
                  <w:marLeft w:val="0"/>
                  <w:marRight w:val="0"/>
                  <w:marTop w:val="0"/>
                  <w:marBottom w:val="0"/>
                  <w:divBdr>
                    <w:top w:val="none" w:sz="0" w:space="0" w:color="auto"/>
                    <w:left w:val="none" w:sz="0" w:space="0" w:color="auto"/>
                    <w:bottom w:val="none" w:sz="0" w:space="0" w:color="auto"/>
                    <w:right w:val="none" w:sz="0" w:space="0" w:color="auto"/>
                  </w:divBdr>
                  <w:divsChild>
                    <w:div w:id="141700397">
                      <w:marLeft w:val="0"/>
                      <w:marRight w:val="0"/>
                      <w:marTop w:val="0"/>
                      <w:marBottom w:val="0"/>
                      <w:divBdr>
                        <w:top w:val="none" w:sz="0" w:space="0" w:color="auto"/>
                        <w:left w:val="none" w:sz="0" w:space="0" w:color="auto"/>
                        <w:bottom w:val="none" w:sz="0" w:space="0" w:color="auto"/>
                        <w:right w:val="none" w:sz="0" w:space="0" w:color="auto"/>
                      </w:divBdr>
                      <w:divsChild>
                        <w:div w:id="833228558">
                          <w:marLeft w:val="0"/>
                          <w:marRight w:val="0"/>
                          <w:marTop w:val="0"/>
                          <w:marBottom w:val="0"/>
                          <w:divBdr>
                            <w:top w:val="none" w:sz="0" w:space="0" w:color="auto"/>
                            <w:left w:val="none" w:sz="0" w:space="0" w:color="auto"/>
                            <w:bottom w:val="none" w:sz="0" w:space="0" w:color="auto"/>
                            <w:right w:val="none" w:sz="0" w:space="0" w:color="auto"/>
                          </w:divBdr>
                          <w:divsChild>
                            <w:div w:id="64838730">
                              <w:marLeft w:val="0"/>
                              <w:marRight w:val="0"/>
                              <w:marTop w:val="0"/>
                              <w:marBottom w:val="0"/>
                              <w:divBdr>
                                <w:top w:val="none" w:sz="0" w:space="0" w:color="auto"/>
                                <w:left w:val="none" w:sz="0" w:space="0" w:color="auto"/>
                                <w:bottom w:val="none" w:sz="0" w:space="0" w:color="auto"/>
                                <w:right w:val="none" w:sz="0" w:space="0" w:color="auto"/>
                              </w:divBdr>
                              <w:divsChild>
                                <w:div w:id="1133213628">
                                  <w:marLeft w:val="0"/>
                                  <w:marRight w:val="0"/>
                                  <w:marTop w:val="0"/>
                                  <w:marBottom w:val="0"/>
                                  <w:divBdr>
                                    <w:top w:val="none" w:sz="0" w:space="0" w:color="auto"/>
                                    <w:left w:val="none" w:sz="0" w:space="0" w:color="auto"/>
                                    <w:bottom w:val="none" w:sz="0" w:space="0" w:color="auto"/>
                                    <w:right w:val="none" w:sz="0" w:space="0" w:color="auto"/>
                                  </w:divBdr>
                                  <w:divsChild>
                                    <w:div w:id="1654603218">
                                      <w:marLeft w:val="150"/>
                                      <w:marRight w:val="0"/>
                                      <w:marTop w:val="150"/>
                                      <w:marBottom w:val="150"/>
                                      <w:divBdr>
                                        <w:top w:val="single" w:sz="6" w:space="18" w:color="E3E3E3"/>
                                        <w:left w:val="single" w:sz="6" w:space="18" w:color="E3E3E3"/>
                                        <w:bottom w:val="single" w:sz="6" w:space="18" w:color="E3E3E3"/>
                                        <w:right w:val="single" w:sz="6" w:space="18" w:color="E3E3E3"/>
                                      </w:divBdr>
                                    </w:div>
                                  </w:divsChild>
                                </w:div>
                              </w:divsChild>
                            </w:div>
                          </w:divsChild>
                        </w:div>
                      </w:divsChild>
                    </w:div>
                  </w:divsChild>
                </w:div>
              </w:divsChild>
            </w:div>
          </w:divsChild>
        </w:div>
      </w:divsChild>
    </w:div>
    <w:div w:id="1545361701">
      <w:bodyDiv w:val="1"/>
      <w:marLeft w:val="0"/>
      <w:marRight w:val="0"/>
      <w:marTop w:val="0"/>
      <w:marBottom w:val="0"/>
      <w:divBdr>
        <w:top w:val="none" w:sz="0" w:space="0" w:color="auto"/>
        <w:left w:val="none" w:sz="0" w:space="0" w:color="auto"/>
        <w:bottom w:val="none" w:sz="0" w:space="0" w:color="auto"/>
        <w:right w:val="none" w:sz="0" w:space="0" w:color="auto"/>
      </w:divBdr>
    </w:div>
    <w:div w:id="157512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www.cancerresearchuk.org/cancer-info/cancerstats/causes/preventable/" TargetMode="External"/><Relationship Id="rId13" Type="http://schemas.openxmlformats.org/officeDocument/2006/relationships/hyperlink" Target="https://www.gov.uk/government/uploads/system/.../ia-minimum-unit-pricing.pdf" TargetMode="External"/><Relationship Id="rId3" Type="http://schemas.openxmlformats.org/officeDocument/2006/relationships/hyperlink" Target="http://www.ncbi.nlm.nih.gov/pubmed/26115567" TargetMode="External"/><Relationship Id="rId7" Type="http://schemas.openxmlformats.org/officeDocument/2006/relationships/hyperlink" Target="https://www.nature.com/articles/s41416-018-0029-6" TargetMode="External"/><Relationship Id="rId12" Type="http://schemas.openxmlformats.org/officeDocument/2006/relationships/hyperlink" Target="http://www.ncbi.nlm.nih.gov/pubmed/23469267" TargetMode="External"/><Relationship Id="rId2" Type="http://schemas.openxmlformats.org/officeDocument/2006/relationships/hyperlink" Target="http://monographs.iarc.fr/ENG/Monographs/vol100E/mono100E-11.pdf" TargetMode="External"/><Relationship Id="rId16" Type="http://schemas.openxmlformats.org/officeDocument/2006/relationships/hyperlink" Target="http://www.ias.org.uk/uploads/pdf/In%20the%20Workplace/ia-minimum-unit-pricing.pdf" TargetMode="External"/><Relationship Id="rId1" Type="http://schemas.openxmlformats.org/officeDocument/2006/relationships/hyperlink" Target="http://monographs.iarc.fr/ENG/Monographs/vol44/index.php" TargetMode="External"/><Relationship Id="rId6" Type="http://schemas.openxmlformats.org/officeDocument/2006/relationships/hyperlink" Target="https://www.gov.uk/government/uploads/system/uploads/attachment_data/file/545739/GDG_report-Jan2016.pdf" TargetMode="External"/><Relationship Id="rId11" Type="http://schemas.openxmlformats.org/officeDocument/2006/relationships/hyperlink" Target="http://www.ncbi.nlm.nih.gov/pubmed/17487833" TargetMode="External"/><Relationship Id="rId5" Type="http://schemas.openxmlformats.org/officeDocument/2006/relationships/hyperlink" Target="http://publications.iarc.fr/Non-Series-Publications/World-Cancer-Reports/World-Cancer-Report-2014" TargetMode="External"/><Relationship Id="rId15" Type="http://schemas.openxmlformats.org/officeDocument/2006/relationships/hyperlink" Target="http://emj.bmj.com/content/early/2015/11/19/emermed-2014-204581.full.pdf" TargetMode="External"/><Relationship Id="rId10" Type="http://schemas.openxmlformats.org/officeDocument/2006/relationships/hyperlink" Target="http://www.ncbi.nlm.nih.gov/pubmed/15066364" TargetMode="External"/><Relationship Id="rId4" Type="http://schemas.openxmlformats.org/officeDocument/2006/relationships/hyperlink" Target="http://www.who.int/substance_abuse/publications/global_alcohol_report/en/" TargetMode="External"/><Relationship Id="rId9" Type="http://schemas.openxmlformats.org/officeDocument/2006/relationships/hyperlink" Target="https://www.nature.com/articles/s41416-018-0029-6" TargetMode="External"/><Relationship Id="rId14" Type="http://schemas.openxmlformats.org/officeDocument/2006/relationships/hyperlink" Target="http://digital.nhs.uk/media/30886/Statistics-on-Alcohol-England-2017-Report/Any/alc-eng-2017-re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7FFB2-A9F3-4768-8E9A-9A4C1C498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2</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Cancer Research UK</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Chiu</dc:creator>
  <cp:keywords/>
  <dc:description/>
  <cp:lastModifiedBy>Ben Chiu</cp:lastModifiedBy>
  <cp:revision>20</cp:revision>
  <cp:lastPrinted>2018-01-16T13:57:00Z</cp:lastPrinted>
  <dcterms:created xsi:type="dcterms:W3CDTF">2017-12-04T11:17:00Z</dcterms:created>
  <dcterms:modified xsi:type="dcterms:W3CDTF">2018-07-20T12:46:00Z</dcterms:modified>
</cp:coreProperties>
</file>