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0B" w:rsidRPr="00FD0754" w:rsidRDefault="0067340B" w:rsidP="0067340B">
      <w:pPr>
        <w:jc w:val="center"/>
        <w:textAlignment w:val="baseline"/>
        <w:rPr>
          <w:rFonts w:ascii="Courier New" w:hAnsi="Courier New"/>
        </w:rPr>
      </w:pPr>
      <w:r>
        <w:rPr>
          <w:rFonts w:ascii="Courier New" w:hAnsi="Courier New"/>
        </w:rPr>
        <w:t xml:space="preserve">1.</w:t>
      </w:r>
      <w:r>
        <w:rPr>
          <w:rFonts w:ascii="Courier New" w:hAnsi="Courier New"/>
        </w:rPr>
        <w:t xml:space="preserve"> </w:t>
      </w:r>
      <w:r>
        <w:rPr>
          <w:rFonts w:ascii="Courier New" w:hAnsi="Courier New"/>
        </w:rPr>
        <w:t xml:space="preserve">------IND- 2018 0446 B-- PL- ------ 20180917 --- --- PROJET</w:t>
      </w:r>
    </w:p>
    <w:bookmarkEnd w:id="0"/>
    <w:p w:rsidR="00216FE2" w:rsidRPr="003E77DF" w:rsidRDefault="00216FE2"/>
    <w:tbl>
      <w:tblPr>
        <w:tblW w:w="9455" w:type="dxa"/>
        <w:jc w:val="center"/>
        <w:tblLayout w:type="fixed"/>
        <w:tblCellMar>
          <w:left w:w="70" w:type="dxa"/>
          <w:right w:w="70" w:type="dxa"/>
        </w:tblCellMar>
        <w:tblLook w:val="0000" w:firstRow="0" w:lastRow="0" w:firstColumn="0" w:lastColumn="0" w:noHBand="0" w:noVBand="0"/>
      </w:tblPr>
      <w:tblGrid>
        <w:gridCol w:w="9455"/>
      </w:tblGrid>
      <w:tr w:rsidR="00155940" w:rsidRPr="003E77DF" w:rsidTr="00216FE2">
        <w:trPr>
          <w:jc w:val="center"/>
        </w:trPr>
        <w:tc>
          <w:tcPr>
            <w:tcW w:w="9455" w:type="dxa"/>
          </w:tcPr>
          <w:p w:rsidR="00155940" w:rsidRPr="003E77DF" w:rsidRDefault="00155940" w:rsidP="00216FE2">
            <w:pPr>
              <w:pStyle w:val="Heading2"/>
              <w:keepNext w:val="0"/>
              <w:rPr>
                <w:sz w:val="22"/>
                <w:szCs w:val="22"/>
                <w:rFonts w:ascii="Garamond" w:hAnsi="Garamond"/>
              </w:rPr>
            </w:pPr>
            <w:r>
              <w:rPr>
                <w:sz w:val="22"/>
                <w:szCs w:val="22"/>
                <w:rFonts w:ascii="Garamond" w:hAnsi="Garamond"/>
              </w:rPr>
              <w:t xml:space="preserve">Królestwo Belgii</w:t>
            </w:r>
          </w:p>
        </w:tc>
      </w:tr>
      <w:tr w:rsidR="00155940" w:rsidRPr="003E77DF" w:rsidTr="00216FE2">
        <w:trPr>
          <w:jc w:val="center"/>
        </w:trPr>
        <w:tc>
          <w:tcPr>
            <w:tcW w:w="9455" w:type="dxa"/>
          </w:tcPr>
          <w:p w:rsidR="00155940" w:rsidRPr="003E77DF" w:rsidRDefault="00155940" w:rsidP="00216FE2">
            <w:pPr>
              <w:tabs>
                <w:tab w:val="left" w:pos="2410"/>
              </w:tabs>
              <w:jc w:val="center"/>
              <w:rPr>
                <w:sz w:val="22"/>
                <w:szCs w:val="22"/>
                <w:rFonts w:ascii="Garamond" w:hAnsi="Garamond"/>
              </w:rPr>
            </w:pPr>
            <w:r>
              <w:rPr>
                <w:sz w:val="22"/>
                <w:szCs w:val="22"/>
                <w:rFonts w:ascii="Garamond" w:hAnsi="Garamond"/>
              </w:rPr>
              <w:t xml:space="preserve">_________</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 w:val="left" w:pos="3616"/>
                <w:tab w:val="left" w:pos="3899"/>
              </w:tabs>
              <w:jc w:val="center"/>
              <w:rPr>
                <w:b/>
                <w:bCs/>
                <w:sz w:val="22"/>
                <w:szCs w:val="22"/>
                <w:rFonts w:ascii="Garamond" w:hAnsi="Garamond"/>
              </w:rPr>
            </w:pPr>
            <w:r>
              <w:rPr>
                <w:b/>
                <w:bCs/>
                <w:sz w:val="22"/>
                <w:szCs w:val="22"/>
                <w:rFonts w:ascii="Garamond" w:hAnsi="Garamond"/>
              </w:rPr>
              <w:t xml:space="preserve">FEDERALNA SŁUŻBA PUBLICZNA DS. ZDROWIA PUBLICZNEGO, BEZPIECZEŃSTWA ŁAŃCUCHA ŻYWNOŚCIOWEGO I ŚRODOWISKA</w:t>
            </w:r>
          </w:p>
        </w:tc>
      </w:tr>
      <w:tr w:rsidR="00155940" w:rsidRPr="003E77DF" w:rsidTr="00216FE2">
        <w:trPr>
          <w:jc w:val="center"/>
        </w:trPr>
        <w:tc>
          <w:tcPr>
            <w:tcW w:w="9455" w:type="dxa"/>
          </w:tcPr>
          <w:p w:rsidR="00155940" w:rsidRPr="003E77DF" w:rsidRDefault="00155940" w:rsidP="00216FE2">
            <w:pPr>
              <w:tabs>
                <w:tab w:val="left" w:pos="2410"/>
              </w:tabs>
              <w:jc w:val="center"/>
              <w:rPr>
                <w:bCs/>
                <w:sz w:val="22"/>
                <w:szCs w:val="22"/>
                <w:rFonts w:ascii="Garamond" w:hAnsi="Garamond"/>
              </w:rPr>
            </w:pPr>
            <w:r>
              <w:rPr>
                <w:sz w:val="22"/>
                <w:szCs w:val="22"/>
                <w:rFonts w:ascii="Garamond" w:hAnsi="Garamond"/>
              </w:rPr>
              <w:t xml:space="preserve">________________________</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tabs>
                <w:tab w:val="left" w:pos="2410"/>
              </w:tabs>
              <w:jc w:val="center"/>
              <w:rPr>
                <w:b/>
                <w:bCs/>
                <w:sz w:val="22"/>
                <w:szCs w:val="22"/>
                <w:rFonts w:ascii="Garamond" w:hAnsi="Garamond"/>
              </w:rPr>
            </w:pPr>
            <w:r>
              <w:rPr>
                <w:b/>
                <w:bCs/>
                <w:color w:val="000000"/>
                <w:sz w:val="22"/>
                <w:szCs w:val="22"/>
                <w:rFonts w:ascii="Garamond" w:hAnsi="Garamond"/>
              </w:rPr>
              <w:t xml:space="preserve">Dekret królewski w sprawie znormalizowanej paczki papierosów, tytoniu do samodzielnego skręcania papierosów i tytoniu do fajek wodnych</w:t>
            </w:r>
            <w:r>
              <w:rPr>
                <w:b/>
                <w:bCs/>
                <w:color w:val="000000"/>
                <w:sz w:val="22"/>
                <w:szCs w:val="22"/>
                <w:rFonts w:ascii="Garamond" w:hAnsi="Garamond"/>
              </w:rPr>
              <w:t xml:space="preserve"> </w:t>
            </w:r>
          </w:p>
        </w:tc>
      </w:tr>
      <w:tr w:rsidR="00155940" w:rsidRPr="003E77DF" w:rsidTr="00216FE2">
        <w:trPr>
          <w:jc w:val="center"/>
        </w:trPr>
        <w:tc>
          <w:tcPr>
            <w:tcW w:w="9455" w:type="dxa"/>
          </w:tcPr>
          <w:p w:rsidR="00155940" w:rsidRPr="003E77DF" w:rsidRDefault="00155940" w:rsidP="00216FE2">
            <w:pPr>
              <w:rPr>
                <w:rFonts w:ascii="Garamond" w:hAnsi="Garamond"/>
                <w:b/>
                <w:sz w:val="22"/>
                <w:szCs w:val="22"/>
                <w:lang w:val="fr-BE"/>
              </w:rPr>
            </w:pPr>
          </w:p>
        </w:tc>
      </w:tr>
      <w:tr w:rsidR="00155940" w:rsidRPr="003E77DF" w:rsidTr="00216FE2">
        <w:trPr>
          <w:jc w:val="center"/>
        </w:trPr>
        <w:tc>
          <w:tcPr>
            <w:tcW w:w="9455" w:type="dxa"/>
          </w:tcPr>
          <w:p w:rsidR="00155940" w:rsidRPr="003E77DF" w:rsidRDefault="00155940" w:rsidP="00216FE2">
            <w:pPr>
              <w:jc w:val="center"/>
              <w:rPr>
                <w:b/>
                <w:bCs/>
                <w:sz w:val="22"/>
                <w:szCs w:val="22"/>
                <w:rFonts w:ascii="Garamond" w:hAnsi="Garamond"/>
              </w:rPr>
            </w:pPr>
            <w:r>
              <w:rPr>
                <w:b/>
                <w:sz w:val="22"/>
                <w:szCs w:val="22"/>
                <w:rFonts w:ascii="Garamond" w:hAnsi="Garamond"/>
              </w:rPr>
              <w:t xml:space="preserve">FILIP, Król Belgów,</w:t>
            </w:r>
            <w:r>
              <w:rPr>
                <w:b/>
                <w:sz w:val="22"/>
                <w:szCs w:val="22"/>
                <w:bCs/>
                <w:rFonts w:ascii="Garamond" w:hAnsi="Garamond"/>
              </w:rPr>
              <w:t xml:space="preserve"> </w:t>
            </w:r>
          </w:p>
        </w:tc>
      </w:tr>
      <w:tr w:rsidR="00155940" w:rsidRPr="003E77DF" w:rsidTr="00216FE2">
        <w:trPr>
          <w:jc w:val="center"/>
        </w:trPr>
        <w:tc>
          <w:tcPr>
            <w:tcW w:w="9455" w:type="dxa"/>
          </w:tcPr>
          <w:p w:rsidR="00155940" w:rsidRPr="003E77DF" w:rsidRDefault="00155940" w:rsidP="00216FE2">
            <w:pPr>
              <w:jc w:val="center"/>
              <w:rPr>
                <w:rFonts w:ascii="Garamond" w:hAnsi="Garamond"/>
                <w:bCs/>
                <w:sz w:val="22"/>
                <w:szCs w:val="22"/>
                <w:lang w:val="fr-BE"/>
              </w:rPr>
            </w:pPr>
          </w:p>
        </w:tc>
      </w:tr>
      <w:tr w:rsidR="00155940" w:rsidRPr="003E77DF" w:rsidTr="00216FE2">
        <w:trPr>
          <w:jc w:val="center"/>
        </w:trPr>
        <w:tc>
          <w:tcPr>
            <w:tcW w:w="9455" w:type="dxa"/>
          </w:tcPr>
          <w:p w:rsidR="00155940" w:rsidRPr="003E77DF" w:rsidRDefault="00155940" w:rsidP="00216FE2">
            <w:pPr>
              <w:pStyle w:val="Footer"/>
              <w:tabs>
                <w:tab w:val="clear" w:pos="4536"/>
                <w:tab w:val="clear" w:pos="9072"/>
                <w:tab w:val="left" w:pos="355"/>
                <w:tab w:val="left" w:pos="2410"/>
              </w:tabs>
              <w:jc w:val="center"/>
              <w:rPr>
                <w:sz w:val="22"/>
                <w:szCs w:val="22"/>
                <w:rFonts w:ascii="Garamond" w:hAnsi="Garamond"/>
              </w:rPr>
            </w:pPr>
            <w:r>
              <w:rPr>
                <w:sz w:val="22"/>
                <w:szCs w:val="22"/>
                <w:rFonts w:ascii="Garamond" w:hAnsi="Garamond"/>
              </w:rPr>
              <w:t xml:space="preserve">do wszystkich żyjących i przyszłych obywateli, z pozdrowieniem.</w:t>
            </w:r>
          </w:p>
          <w:p w:rsidR="00155940" w:rsidRPr="003E77DF" w:rsidRDefault="00155940" w:rsidP="00216FE2">
            <w:pPr>
              <w:pStyle w:val="Footer"/>
              <w:tabs>
                <w:tab w:val="clear" w:pos="4536"/>
                <w:tab w:val="clear" w:pos="9072"/>
                <w:tab w:val="left" w:pos="355"/>
                <w:tab w:val="left" w:pos="2410"/>
              </w:tabs>
              <w:jc w:val="center"/>
              <w:rPr>
                <w:rFonts w:ascii="Garamond" w:hAnsi="Garamond"/>
                <w:sz w:val="22"/>
                <w:szCs w:val="22"/>
              </w:rPr>
            </w:pPr>
          </w:p>
          <w:p w:rsidR="00155940" w:rsidRPr="003E77DF" w:rsidRDefault="00155940" w:rsidP="00216FE2">
            <w:pPr>
              <w:pStyle w:val="Footer"/>
              <w:tabs>
                <w:tab w:val="clear" w:pos="4536"/>
                <w:tab w:val="clear" w:pos="9072"/>
                <w:tab w:val="left" w:pos="355"/>
                <w:tab w:val="left" w:pos="2410"/>
              </w:tabs>
              <w:jc w:val="both"/>
              <w:rPr>
                <w:rFonts w:ascii="Garamond" w:hAnsi="Garamond"/>
                <w:sz w:val="22"/>
                <w:szCs w:val="22"/>
                <w:lang w:val="fr-BE"/>
              </w:rPr>
            </w:pPr>
          </w:p>
          <w:p w:rsidR="00155940" w:rsidRPr="003E77DF" w:rsidRDefault="00155940" w:rsidP="00216FE2">
            <w:pPr>
              <w:pStyle w:val="Footer"/>
              <w:tabs>
                <w:tab w:val="clear" w:pos="4536"/>
                <w:tab w:val="clear" w:pos="9072"/>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sz w:val="22"/>
                <w:szCs w:val="22"/>
                <w:rFonts w:ascii="Garamond" w:hAnsi="Garamond"/>
              </w:rPr>
            </w:pPr>
            <w:r>
              <w:rPr>
                <w:sz w:val="22"/>
                <w:szCs w:val="22"/>
                <w:rFonts w:ascii="Garamond" w:hAnsi="Garamond"/>
              </w:rPr>
              <w:t xml:space="preserve">uwzględniając dyrektywę Parlamentu Europejskiego i Rady 2014/40/UE z dnia 3 kwietnia 2014 r. w sprawie zbliżenia przepisów ustawowych, wykonawczych i administracyjnych państw członkowskich w sprawie produkcji, prezentowania i sprzedaży wyrobów tytoniowych i powiązanych wyrobów oraz uchylającą dyrektywę 2001/37/WE, a w szczególności jej art. 24,</w:t>
            </w:r>
          </w:p>
        </w:tc>
      </w:tr>
      <w:tr w:rsidR="00155940" w:rsidRPr="003E77DF" w:rsidTr="00216FE2">
        <w:trPr>
          <w:jc w:val="center"/>
        </w:trPr>
        <w:tc>
          <w:tcPr>
            <w:tcW w:w="9455" w:type="dxa"/>
          </w:tcPr>
          <w:p w:rsidR="00155940" w:rsidRPr="003E77DF" w:rsidRDefault="00155940" w:rsidP="00216FE2">
            <w:pPr>
              <w:pStyle w:val="Heading1"/>
              <w:keepNext w:val="0"/>
              <w:jc w:val="left"/>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sz w:val="22"/>
                <w:szCs w:val="22"/>
                <w:rFonts w:ascii="Garamond" w:hAnsi="Garamond"/>
              </w:rPr>
            </w:pPr>
            <w:r>
              <w:rPr>
                <w:iCs/>
                <w:sz w:val="22"/>
                <w:rFonts w:ascii="Garamond" w:hAnsi="Garamond"/>
              </w:rPr>
              <w:t xml:space="preserve">uwzględniając ustawę z dnia 24 stycznia 1977 r. o ochronie zdrowia konsumentów w odniesieniu do środków spożywczych i innych produktów, w szczególności art. 6 ust. 1 lit. a), zmieniony ustawą z dnia 22 marca 1989 r., oraz art. 7 ust. 2a pkt 5 dodany ustawą z XXX,</w:t>
            </w: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rPr>
                <w:rFonts w:ascii="Garamond" w:hAnsi="Garamond"/>
                <w:sz w:val="22"/>
                <w:szCs w:val="22"/>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sz w:val="22"/>
                <w:szCs w:val="22"/>
                <w:rFonts w:ascii="Garamond" w:hAnsi="Garamond"/>
              </w:rPr>
            </w:pPr>
            <w:r>
              <w:rPr>
                <w:sz w:val="22"/>
                <w:szCs w:val="22"/>
                <w:rFonts w:ascii="Garamond" w:hAnsi="Garamond"/>
              </w:rPr>
              <w:t xml:space="preserve">uwzględniając opinię Inspektora Finansów z dnia xx,</w:t>
            </w:r>
          </w:p>
        </w:tc>
      </w:tr>
      <w:tr w:rsidR="00155940" w:rsidRPr="003E77DF" w:rsidTr="00216FE2">
        <w:trPr>
          <w:jc w:val="center"/>
        </w:trPr>
        <w:tc>
          <w:tcPr>
            <w:tcW w:w="9455" w:type="dxa"/>
          </w:tcPr>
          <w:p w:rsidR="00155940" w:rsidRPr="003E77DF" w:rsidRDefault="00155940" w:rsidP="00216FE2">
            <w:pPr>
              <w:tabs>
                <w:tab w:val="left" w:pos="567"/>
                <w:tab w:val="left" w:pos="2268"/>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b/>
                <w:bCs/>
                <w:sz w:val="22"/>
                <w:szCs w:val="22"/>
                <w:rFonts w:ascii="Garamond" w:hAnsi="Garamond"/>
              </w:rPr>
            </w:pPr>
            <w:r>
              <w:rPr>
                <w:sz w:val="22"/>
                <w:szCs w:val="22"/>
                <w:rFonts w:ascii="Garamond" w:hAnsi="Garamond"/>
              </w:rPr>
              <w:t xml:space="preserve">uwzględniając opinię XXX Rady Stanu z dnia xx, wydaną zgodnie z art. 84 ust. 1 akapit 1 pkt 2 ustaw o Radzie Stanu, skonsolidowanych w dniu 12 stycznia 1973 r.,</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Heading1"/>
              <w:keepNext w:val="0"/>
              <w:tabs>
                <w:tab w:val="clear" w:pos="567"/>
                <w:tab w:val="left" w:pos="355"/>
              </w:tabs>
              <w:ind w:firstLine="214"/>
              <w:rPr>
                <w:sz w:val="22"/>
                <w:szCs w:val="22"/>
                <w:rFonts w:ascii="Garamond" w:hAnsi="Garamond"/>
              </w:rPr>
            </w:pPr>
            <w:r>
              <w:rPr>
                <w:bCs/>
                <w:sz w:val="22"/>
                <w:szCs w:val="22"/>
                <w:rFonts w:ascii="Garamond" w:hAnsi="Garamond"/>
              </w:rPr>
              <w:t xml:space="preserve">na wniosek Ministra Gospodarki, Minister Zdrowia Publicznego i Ministra Klas Średnich,</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pStyle w:val="Footer"/>
              <w:tabs>
                <w:tab w:val="clear" w:pos="4536"/>
                <w:tab w:val="clear" w:pos="9072"/>
                <w:tab w:val="left" w:pos="355"/>
                <w:tab w:val="left" w:pos="567"/>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center"/>
              <w:rPr>
                <w:sz w:val="22"/>
                <w:szCs w:val="22"/>
                <w:rFonts w:ascii="Garamond" w:hAnsi="Garamond"/>
              </w:rPr>
            </w:pPr>
            <w:r>
              <w:rPr>
                <w:sz w:val="22"/>
                <w:szCs w:val="22"/>
                <w:rFonts w:ascii="Garamond" w:hAnsi="Garamond"/>
              </w:rPr>
              <w:t xml:space="preserve">POSTANOWILIŚMY I UCHWALAMY:</w:t>
            </w:r>
          </w:p>
        </w:tc>
      </w:tr>
      <w:tr w:rsidR="00155940" w:rsidRPr="003E77DF" w:rsidTr="00216FE2">
        <w:trPr>
          <w:jc w:val="center"/>
        </w:trPr>
        <w:tc>
          <w:tcPr>
            <w:tcW w:w="9455" w:type="dxa"/>
          </w:tcPr>
          <w:p w:rsidR="00155940" w:rsidRPr="003E77DF" w:rsidRDefault="00155940" w:rsidP="003E77DF">
            <w:pPr>
              <w:keepNext/>
              <w:tabs>
                <w:tab w:val="left" w:pos="567"/>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sz w:val="22"/>
                <w:szCs w:val="22"/>
                <w:rFonts w:ascii="Garamond" w:hAnsi="Garamond"/>
              </w:rPr>
            </w:pPr>
            <w:r>
              <w:rPr>
                <w:b/>
                <w:sz w:val="24"/>
                <w:szCs w:val="24"/>
                <w:rFonts w:ascii="Garamond" w:hAnsi="Garamond"/>
              </w:rPr>
              <w:t xml:space="preserve">ROZDZIAŁ 1 – Zakres stosowania i definicje</w:t>
            </w:r>
          </w:p>
          <w:p w:rsidR="00155940" w:rsidRPr="003E77DF" w:rsidRDefault="00155940" w:rsidP="003E77DF">
            <w:pPr>
              <w:keepNext/>
              <w:tabs>
                <w:tab w:val="left" w:pos="567"/>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567"/>
                <w:tab w:val="left" w:pos="2410"/>
              </w:tabs>
              <w:rPr>
                <w:sz w:val="22"/>
                <w:szCs w:val="22"/>
                <w:rFonts w:ascii="Garamond" w:hAnsi="Garamond"/>
              </w:rPr>
            </w:pPr>
            <w:r>
              <w:rPr>
                <w:b/>
                <w:sz w:val="24"/>
                <w:szCs w:val="24"/>
                <w:rFonts w:ascii="Garamond" w:hAnsi="Garamond"/>
              </w:rPr>
              <w:t xml:space="preserve">Sekcja 1 – Zakres stosowania</w:t>
            </w:r>
          </w:p>
        </w:tc>
      </w:tr>
      <w:tr w:rsidR="00155940" w:rsidRPr="003E77DF" w:rsidTr="00216FE2">
        <w:trPr>
          <w:jc w:val="center"/>
        </w:trPr>
        <w:tc>
          <w:tcPr>
            <w:tcW w:w="9455" w:type="dxa"/>
          </w:tcPr>
          <w:p w:rsidR="00155940" w:rsidRPr="003E77DF" w:rsidRDefault="00155940" w:rsidP="00216FE2">
            <w:pPr>
              <w:tabs>
                <w:tab w:val="left" w:pos="567"/>
                <w:tab w:val="left" w:pos="2410"/>
              </w:tabs>
              <w:rPr>
                <w:rFonts w:ascii="Garamond" w:hAnsi="Garamond"/>
                <w:b/>
                <w:sz w:val="24"/>
                <w:szCs w:val="24"/>
                <w:lang w:val="nl-NL"/>
              </w:rPr>
            </w:pPr>
          </w:p>
        </w:tc>
      </w:tr>
      <w:tr w:rsidR="00155940" w:rsidRPr="003E77DF" w:rsidTr="00216FE2">
        <w:trPr>
          <w:jc w:val="center"/>
        </w:trPr>
        <w:tc>
          <w:tcPr>
            <w:tcW w:w="9455" w:type="dxa"/>
          </w:tcPr>
          <w:p w:rsidR="00155940" w:rsidRPr="003E77DF" w:rsidRDefault="00155940" w:rsidP="003E77DF">
            <w:pPr>
              <w:tabs>
                <w:tab w:val="left" w:pos="2410"/>
              </w:tabs>
              <w:jc w:val="both"/>
              <w:rPr>
                <w:b/>
                <w:sz w:val="22"/>
                <w:szCs w:val="22"/>
                <w:rFonts w:ascii="Garamond" w:hAnsi="Garamond"/>
              </w:rPr>
            </w:pPr>
            <w:r>
              <w:rPr>
                <w:sz w:val="22"/>
                <w:szCs w:val="22"/>
                <w:b/>
                <w:rFonts w:ascii="Garamond" w:hAnsi="Garamond"/>
              </w:rPr>
              <w:t xml:space="preserve">Artykuł 1.</w:t>
            </w:r>
            <w:r>
              <w:rPr>
                <w:sz w:val="22"/>
                <w:szCs w:val="22"/>
                <w:b/>
                <w:rFonts w:ascii="Garamond" w:hAnsi="Garamond"/>
              </w:rPr>
              <w:t xml:space="preserve"> </w:t>
            </w:r>
            <w:r>
              <w:rPr>
                <w:sz w:val="22"/>
                <w:szCs w:val="22"/>
                <w:rFonts w:ascii="Garamond" w:hAnsi="Garamond"/>
              </w:rPr>
              <w:t xml:space="preserve">Niniejszy dekret ma zastosowanie do papierosów, tytoniu do samodzielnego skręcania papierosów, tytoniu do fajek wodnych, gilz do papierosów, papieru do papierosów i papieru do tytoniu do samodzielnego skręcania papierosów i określa kolor oraz elementy znajdujące się na opakowaniach wymienionych wyrobów.</w:t>
            </w:r>
          </w:p>
        </w:tc>
      </w:tr>
      <w:tr w:rsidR="00155940" w:rsidRPr="003E77DF" w:rsidTr="00216FE2">
        <w:trPr>
          <w:jc w:val="center"/>
        </w:trPr>
        <w:tc>
          <w:tcPr>
            <w:tcW w:w="9455" w:type="dxa"/>
          </w:tcPr>
          <w:p w:rsidR="00155940" w:rsidRPr="003E77DF" w:rsidRDefault="00155940" w:rsidP="00216FE2">
            <w:pPr>
              <w:tabs>
                <w:tab w:val="left" w:pos="567"/>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2410"/>
              </w:tabs>
              <w:jc w:val="both"/>
              <w:rPr>
                <w:sz w:val="22"/>
                <w:szCs w:val="22"/>
                <w:rFonts w:ascii="Garamond" w:hAnsi="Garamond"/>
              </w:rPr>
            </w:pPr>
            <w:r>
              <w:rPr>
                <w:b/>
                <w:sz w:val="24"/>
                <w:szCs w:val="24"/>
                <w:rFonts w:ascii="Garamond" w:hAnsi="Garamond"/>
              </w:rPr>
              <w:t xml:space="preserve">Sekcja 2 - Definicje</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b/>
                <w:color w:val="000000"/>
                <w:sz w:val="22"/>
                <w:szCs w:val="22"/>
                <w:rFonts w:ascii="Garamond" w:hAnsi="Garamond"/>
              </w:rPr>
            </w:pPr>
            <w:r>
              <w:rPr>
                <w:sz w:val="22"/>
                <w:szCs w:val="22"/>
                <w:b/>
                <w:rFonts w:ascii="Garamond" w:hAnsi="Garamond"/>
              </w:rPr>
              <w:t xml:space="preserve">Artykuł 2.</w:t>
            </w:r>
            <w:r>
              <w:rPr>
                <w:sz w:val="22"/>
                <w:szCs w:val="22"/>
                <w:color w:val="000000"/>
                <w:rFonts w:ascii="Garamond" w:hAnsi="Garamond"/>
              </w:rPr>
              <w:t xml:space="preserve"> </w:t>
            </w:r>
            <w:r>
              <w:rPr>
                <w:sz w:val="22"/>
                <w:szCs w:val="22"/>
                <w:color w:val="000000"/>
                <w:rFonts w:ascii="Garamond" w:hAnsi="Garamond"/>
              </w:rPr>
              <w:t xml:space="preserve">Na potrzeby stosowania niniejszego rozporządzenia wprowadza się poniższe definicje:</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1° tytoń: liście i wszelkie inne części naturalne, przetworzone lub nie, rośliny tytoniu, w tym tytoń ekspandowany i odtworzony;</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2° wyrób na bazie tytoniu: wyroby , które można spożywać, składające się, nawet częściowo, z tytoniu, nawet genetycznie modyfikowanego;</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3° tytoń do samodzielnego skręcania papierosów: tytoń, który może być używany przez konsumentów lub punkty detaliczne do wyrobu papierosów;</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4° papieros: zrolowany tytoń, który może być spożywany w drodze procesu spalania, który jest bardziej szczegółowo zdefiniowany w art. 5 ustawy z dnia 3 kwietnia 1997 r. w sprawie systemu podatkowego stosowanego do wyrobów tytoniowych;</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5° tytoń do fajki wodnej: wyrób tytoniowy, który może być spożywany za pomocą fajki wodnej.</w:t>
            </w:r>
            <w:r>
              <w:rPr>
                <w:color w:val="000000"/>
                <w:sz w:val="22"/>
                <w:szCs w:val="22"/>
                <w:rFonts w:ascii="Garamond" w:hAnsi="Garamond"/>
              </w:rPr>
              <w:t xml:space="preserve"> </w:t>
            </w:r>
            <w:r>
              <w:rPr>
                <w:color w:val="000000"/>
                <w:sz w:val="22"/>
                <w:szCs w:val="22"/>
                <w:rFonts w:ascii="Garamond" w:hAnsi="Garamond"/>
              </w:rPr>
              <w:t xml:space="preserve">Do celów niniejszego dekretu tytoń do fajki wodnej jest uznawany za tytoń do palenia.</w:t>
            </w:r>
            <w:r>
              <w:rPr>
                <w:color w:val="000000"/>
                <w:sz w:val="22"/>
                <w:szCs w:val="22"/>
                <w:rFonts w:ascii="Garamond" w:hAnsi="Garamond"/>
              </w:rPr>
              <w:t xml:space="preserve"> </w:t>
            </w:r>
            <w:r>
              <w:rPr>
                <w:color w:val="000000"/>
                <w:sz w:val="22"/>
                <w:szCs w:val="22"/>
                <w:rFonts w:ascii="Garamond" w:hAnsi="Garamond"/>
              </w:rPr>
              <w:t xml:space="preserve">Jeżeli wyrób może być używany jednocześnie do fajki wodnej i jako tytoń do samodzielnego skręcania papierosów, uznaje się go za tytoń do samodzielnego skręcania papierosów;</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6° opakowanie zewnętrzne: każde opakowanie, w którym podstawowe wyroby na bazie tytoniu są wprowadzane do obrotu, w tym opakowanie jednostkowe lub zestaw opakowań jednostkowych; przezroczyste opakowania zbiorcze nie są uznawane za opakowania zewnętrzne;</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7° opakowanie jednostkowe: najmniejsze pojedyncze opakowanie jednostkowe wyrobu na bazie tytoniu wprowadzane do obrotu;</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8° nazwa handlowa: połączenie nie więcej niż trzech wyrazów umożliwiające rozróżnienie wyrobów na bazie tytoniu;</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9° przezroczyste opakowanie zbiorcze: opakowanie celofanowe bez żadnego kolorowego odcienia lub bez żadnego wzoru lub innego elementu, zwane dalej „opakowaniem zbiorczym”;</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10° punkt detaliczny: każdy punkt sprzedaży, w którym są wprowadzane do obrotu wyroby tytoniowe, również przez osobę fizyczną;</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11° wprowadzanie do obrotu: odpłatne lub nieodpłatne przekazanie wyrobów do dyspozycji konsumentów unijnych, bez względu na ich miejsce produkcji, w tym w formie sprzedaży wysyłkowej; w przypadku wysyłkowej sprzedaży transgranicznej uznaje się, że wprowadzenie wyrobu do obrotu ma miejsce w państwie członkowskim, w którym znajduje się konsument;</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b/>
                <w:sz w:val="24"/>
                <w:szCs w:val="24"/>
                <w:rFonts w:ascii="Garamond" w:hAnsi="Garamond"/>
              </w:rPr>
            </w:pPr>
            <w:r>
              <w:rPr>
                <w:color w:val="000000"/>
                <w:sz w:val="22"/>
                <w:szCs w:val="22"/>
                <w:rFonts w:ascii="Garamond" w:hAnsi="Garamond"/>
              </w:rPr>
              <w:t xml:space="preserve">12° Minister:</w:t>
            </w:r>
            <w:r>
              <w:rPr>
                <w:color w:val="000000"/>
                <w:sz w:val="22"/>
                <w:szCs w:val="22"/>
                <w:rFonts w:ascii="Garamond" w:hAnsi="Garamond"/>
              </w:rPr>
              <w:t xml:space="preserve"> </w:t>
            </w:r>
            <w:r>
              <w:rPr>
                <w:color w:val="000000"/>
                <w:sz w:val="22"/>
                <w:szCs w:val="22"/>
                <w:rFonts w:ascii="Garamond" w:hAnsi="Garamond"/>
              </w:rPr>
              <w:t xml:space="preserve">Minister Zdrowia Publicznego.</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b/>
                <w:sz w:val="24"/>
                <w:szCs w:val="24"/>
                <w:rFonts w:ascii="Garamond" w:hAnsi="Garamond"/>
              </w:rPr>
            </w:pPr>
            <w:r>
              <w:rPr>
                <w:b/>
                <w:color w:val="000000"/>
                <w:sz w:val="24"/>
                <w:szCs w:val="24"/>
                <w:rFonts w:ascii="Garamond" w:hAnsi="Garamond"/>
              </w:rPr>
              <w:t xml:space="preserve">ROZDZIAŁ 2 – Wygląd i zawartość opakowań jednostkowych i opakowań zewnętrznych papierosów, tytoniu do samodzielnego skręcania papierosów i tytoniu do fajek wodnych</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b/>
                <w:sz w:val="24"/>
                <w:szCs w:val="24"/>
                <w:rFonts w:ascii="Garamond" w:hAnsi="Garamond"/>
              </w:rPr>
            </w:pPr>
            <w:r>
              <w:rPr>
                <w:b/>
                <w:color w:val="000000"/>
                <w:sz w:val="24"/>
                <w:szCs w:val="24"/>
                <w:rFonts w:ascii="Garamond" w:hAnsi="Garamond"/>
              </w:rPr>
              <w:t xml:space="preserve">Sekcja 1 - Powiązanie z dekretem królewskim z dnia 5 lutego 2016 r.</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tabs>
                <w:tab w:val="left" w:pos="355"/>
                <w:tab w:val="left" w:pos="2410"/>
              </w:tabs>
              <w:jc w:val="both"/>
              <w:rPr>
                <w:b/>
                <w:sz w:val="24"/>
                <w:szCs w:val="24"/>
                <w:rFonts w:ascii="Garamond" w:hAnsi="Garamond"/>
              </w:rPr>
            </w:pPr>
            <w:r>
              <w:rPr>
                <w:color w:val="000000"/>
                <w:sz w:val="22"/>
                <w:szCs w:val="22"/>
                <w:b/>
                <w:rFonts w:ascii="Garamond" w:hAnsi="Garamond"/>
              </w:rPr>
              <w:t xml:space="preserve">Artykuł 3.</w:t>
            </w:r>
            <w:r>
              <w:rPr>
                <w:color w:val="000000"/>
                <w:sz w:val="22"/>
                <w:szCs w:val="22"/>
                <w:b/>
                <w:rFonts w:ascii="Garamond" w:hAnsi="Garamond"/>
              </w:rPr>
              <w:t xml:space="preserve"> </w:t>
            </w:r>
            <w:r>
              <w:rPr>
                <w:color w:val="000000"/>
                <w:sz w:val="22"/>
                <w:szCs w:val="22"/>
                <w:rFonts w:ascii="Garamond" w:hAnsi="Garamond"/>
              </w:rPr>
              <w:t xml:space="preserve">Opakowania jednostkowe i opakowania zewnętrzne spełniają wymogi przepisów dekretu królewskiego z dnia 5 lutego 2016 r. w sprawie produkcji i wprowadzania do obrotu wyrobów tytoniowych.</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b/>
                <w:sz w:val="24"/>
                <w:szCs w:val="24"/>
                <w:rFonts w:ascii="Garamond" w:hAnsi="Garamond"/>
              </w:rPr>
            </w:pPr>
            <w:r>
              <w:rPr>
                <w:b/>
                <w:color w:val="000000"/>
                <w:sz w:val="24"/>
                <w:szCs w:val="24"/>
                <w:rFonts w:ascii="Garamond" w:hAnsi="Garamond"/>
              </w:rPr>
              <w:t xml:space="preserve">Sekcja 2 – Przepisy ogólne</w:t>
            </w:r>
          </w:p>
        </w:tc>
      </w:tr>
      <w:tr w:rsidR="00155940" w:rsidRPr="003E77DF" w:rsidTr="00216FE2">
        <w:trPr>
          <w:jc w:val="center"/>
        </w:trPr>
        <w:tc>
          <w:tcPr>
            <w:tcW w:w="9455" w:type="dxa"/>
          </w:tcPr>
          <w:p w:rsidR="00155940" w:rsidRPr="003E77DF" w:rsidRDefault="00155940" w:rsidP="003E77DF">
            <w:pPr>
              <w:keepNext/>
              <w:tabs>
                <w:tab w:val="left" w:pos="2410"/>
              </w:tabs>
              <w:jc w:val="both"/>
              <w:rPr>
                <w:rFonts w:ascii="Garamond" w:hAnsi="Garamond"/>
                <w:b/>
                <w:sz w:val="24"/>
                <w:szCs w:val="24"/>
                <w:lang w:val="fr-BE"/>
              </w:rPr>
            </w:pPr>
          </w:p>
        </w:tc>
      </w:tr>
      <w:tr w:rsidR="00155940" w:rsidRPr="003E77DF" w:rsidTr="00216FE2">
        <w:trPr>
          <w:jc w:val="center"/>
        </w:trPr>
        <w:tc>
          <w:tcPr>
            <w:tcW w:w="9455" w:type="dxa"/>
          </w:tcPr>
          <w:p w:rsidR="00155940"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4.</w:t>
            </w:r>
            <w:r>
              <w:rPr>
                <w:color w:val="000000"/>
                <w:sz w:val="22"/>
                <w:szCs w:val="22"/>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Opakowania jednostkowe i opakowania zewnętrzne mają ten samo odcień kolorystyczny.</w:t>
            </w:r>
            <w:r>
              <w:rPr>
                <w:color w:val="000000"/>
                <w:sz w:val="22"/>
                <w:szCs w:val="22"/>
                <w:rFonts w:ascii="Garamond" w:hAnsi="Garamond"/>
              </w:rPr>
              <w:t xml:space="preserve"> </w:t>
            </w:r>
            <w:r>
              <w:rPr>
                <w:color w:val="000000"/>
                <w:sz w:val="22"/>
                <w:szCs w:val="22"/>
                <w:rFonts w:ascii="Garamond" w:hAnsi="Garamond"/>
              </w:rPr>
              <w:t xml:space="preserve">Producent ma do wyboru dwa odcienie kolorystyczne wewnętrznej strony opakowania jednostkowego.</w:t>
            </w:r>
          </w:p>
          <w:p w:rsidR="000A22E3" w:rsidRPr="003E77DF" w:rsidRDefault="000A22E3"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b/>
                <w:sz w:val="24"/>
                <w:szCs w:val="24"/>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Minister określa odcienie kolorystyczne.</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5.</w:t>
            </w:r>
            <w:r>
              <w:rPr>
                <w:color w:val="000000"/>
                <w:sz w:val="22"/>
                <w:szCs w:val="22"/>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Opakowanie zewnętrzne może zawierać poza wyrobem na bazie tytoniu tylko osłonę stanowiącą część opakowania.</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b/>
                <w:color w:val="000000"/>
                <w:sz w:val="22"/>
                <w:szCs w:val="22"/>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Minister wyznacza kolor i cechy osłony.</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6.</w:t>
            </w:r>
            <w:r>
              <w:rPr>
                <w:color w:val="000000"/>
                <w:sz w:val="22"/>
                <w:szCs w:val="22"/>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Techniki mogące naruszyć neutralność i jednolitość opakowań jednostkowych, opakowań zewnętrznych lub opakowań zbiorczych, a zwłaszcza techniki, których celem jest nadanie specjalnych cech słuchowych, zapachowych lub wzrokowych, są zabronione.</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Minister może sporządzić wykaz podstawowych technik zabronionych.</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b/>
                <w:color w:val="000000"/>
                <w:sz w:val="22"/>
                <w:szCs w:val="22"/>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Obowiązuje również zakaz jakichkolwiek wkładek lub innych elementów wewnątrz opakowań jednostkowych, zewnętrznych i zbiorczych.</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7.</w:t>
            </w:r>
            <w:r>
              <w:rPr>
                <w:color w:val="000000"/>
                <w:sz w:val="22"/>
                <w:szCs w:val="22"/>
                <w:b/>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Papier do papierosów, gilz do papierosów i tytoniu do samodzielnego skręcania papierosów są w jednym odcieniu kolorystycznym.</w:t>
            </w:r>
            <w:r>
              <w:rPr>
                <w:color w:val="000000"/>
                <w:sz w:val="22"/>
                <w:szCs w:val="22"/>
                <w:rFonts w:ascii="Garamond" w:hAnsi="Garamond"/>
              </w:rPr>
              <w:t xml:space="preserve"> </w:t>
            </w:r>
            <w:r>
              <w:rPr>
                <w:color w:val="000000"/>
                <w:sz w:val="22"/>
                <w:szCs w:val="22"/>
                <w:rFonts w:ascii="Garamond" w:hAnsi="Garamond"/>
              </w:rPr>
              <w:t xml:space="preserve">Producent ma do wyboru dwa odcienie kolorystyczne otoczki filtra.</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b/>
                <w:color w:val="000000"/>
                <w:sz w:val="22"/>
                <w:szCs w:val="22"/>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Minister określa odcienie kolorystyczne, o których mowa w ust. 1.</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8.</w:t>
            </w:r>
            <w:r>
              <w:rPr>
                <w:color w:val="000000"/>
                <w:sz w:val="22"/>
                <w:szCs w:val="22"/>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Powierzchnie zewnętrzne i wewnętrzne opakowań jednostkowych, opakowań zewnętrznych i opakowań zbiorczych są gładkie, a w przypadku opakowań jednostkowych lub zewnętrznych w kształcie prostopadłościanu – gładkie i płaskie.</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3E77DF">
            <w:pPr>
              <w:tabs>
                <w:tab w:val="left" w:pos="355"/>
                <w:tab w:val="left" w:pos="2410"/>
              </w:tabs>
              <w:jc w:val="both"/>
              <w:rPr>
                <w:b/>
                <w:color w:val="000000"/>
                <w:sz w:val="22"/>
                <w:szCs w:val="22"/>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Minister może wyznaczyć dodatkowe cechy powierzchni, o których mowa w ust. 1.</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b/>
                <w:color w:val="000000"/>
                <w:sz w:val="22"/>
                <w:szCs w:val="22"/>
                <w:rFonts w:ascii="Garamond" w:hAnsi="Garamond"/>
              </w:rPr>
            </w:pPr>
            <w:r>
              <w:rPr>
                <w:b/>
                <w:color w:val="000000"/>
                <w:sz w:val="24"/>
                <w:szCs w:val="24"/>
                <w:rFonts w:ascii="Garamond" w:hAnsi="Garamond"/>
              </w:rPr>
              <w:t xml:space="preserve">Sekcja 3 – Opakowania jednostkowe tytoniu do samodzielnego skręcania papierosów</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9.</w:t>
            </w:r>
            <w:r>
              <w:rPr>
                <w:color w:val="000000"/>
                <w:sz w:val="22"/>
                <w:szCs w:val="22"/>
                <w:b/>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Jeżeli opakowanie jednostkowe tytoniu do samodzielnego skręcania papierosów jest wyposażone w pasek umożliwiający jego zamykanie, pasek jest:</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1° pozbawiony wszelkich oznakowań;</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2° przezroczysty i bezbarwny.</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W drodze odstępstwa od przepisów zawartych w ust. 1 dopuszcza się cechy ściśle konieczne do mocowania walca lub procesu otwierania i zamykania opakowania jednostkowego lub opakowania zewnętrznego.</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Ustęp 3.</w:t>
            </w:r>
            <w:r>
              <w:rPr>
                <w:color w:val="000000"/>
                <w:sz w:val="22"/>
                <w:szCs w:val="22"/>
                <w:rFonts w:ascii="Garamond" w:hAnsi="Garamond"/>
              </w:rPr>
              <w:t xml:space="preserve"> </w:t>
            </w:r>
            <w:r>
              <w:rPr>
                <w:color w:val="000000"/>
                <w:sz w:val="22"/>
                <w:szCs w:val="22"/>
                <w:rFonts w:ascii="Garamond" w:hAnsi="Garamond"/>
              </w:rPr>
              <w:t xml:space="preserve">Opakowanie jednostkowe tytoniu do samodzielnego skręcania papierosów o formie walca lub prostopadłościanu może zawierać aluminiowe wieczko w kolorze srebrnym bez modulacji odcienia lub tonu i bez faktury.</w:t>
            </w:r>
            <w:r>
              <w:rPr>
                <w:color w:val="000000"/>
                <w:sz w:val="22"/>
                <w:szCs w:val="22"/>
                <w:rFonts w:ascii="Garamond" w:hAnsi="Garamond"/>
              </w:rPr>
              <w:t xml:space="preserve"> </w:t>
            </w:r>
            <w:r>
              <w:rPr>
                <w:color w:val="000000"/>
                <w:sz w:val="22"/>
                <w:szCs w:val="22"/>
                <w:rFonts w:ascii="Garamond" w:hAnsi="Garamond"/>
              </w:rPr>
              <w:t xml:space="preserve">Wieczko jest częścią opakowania wewnętrznego.</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b/>
                <w:color w:val="000000"/>
                <w:sz w:val="22"/>
                <w:szCs w:val="22"/>
                <w:rFonts w:ascii="Garamond" w:hAnsi="Garamond"/>
              </w:rPr>
            </w:pPr>
            <w:r>
              <w:rPr>
                <w:color w:val="000000"/>
                <w:sz w:val="22"/>
                <w:szCs w:val="22"/>
                <w:rFonts w:ascii="Garamond" w:hAnsi="Garamond"/>
              </w:rPr>
              <w:t xml:space="preserve">§ 4.</w:t>
            </w:r>
            <w:r>
              <w:rPr>
                <w:color w:val="000000"/>
                <w:sz w:val="22"/>
                <w:szCs w:val="22"/>
                <w:rFonts w:ascii="Garamond" w:hAnsi="Garamond"/>
              </w:rPr>
              <w:t xml:space="preserve"> </w:t>
            </w:r>
            <w:r>
              <w:rPr>
                <w:color w:val="000000"/>
                <w:sz w:val="22"/>
                <w:szCs w:val="22"/>
                <w:rFonts w:ascii="Garamond" w:hAnsi="Garamond"/>
              </w:rPr>
              <w:t xml:space="preserve">Minister może określić cechy wymienione w ust. 2.</w:t>
            </w:r>
            <w:r>
              <w:rPr>
                <w:color w:val="000000"/>
                <w:sz w:val="22"/>
                <w:szCs w:val="22"/>
                <w:rFonts w:ascii="Garamond" w:hAnsi="Garamond"/>
              </w:rPr>
              <w:t xml:space="preserve"> </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b/>
                <w:color w:val="000000"/>
                <w:sz w:val="22"/>
                <w:szCs w:val="22"/>
                <w:rFonts w:ascii="Garamond" w:hAnsi="Garamond"/>
              </w:rPr>
            </w:pPr>
            <w:r>
              <w:rPr>
                <w:b/>
                <w:color w:val="000000"/>
                <w:sz w:val="24"/>
                <w:szCs w:val="24"/>
                <w:rFonts w:ascii="Garamond" w:hAnsi="Garamond"/>
              </w:rPr>
              <w:t xml:space="preserve">ROZDZIAŁ 3 – Adnotacje na opakowaniach jednostkowych</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b/>
                <w:rFonts w:ascii="Garamond" w:hAnsi="Garamond"/>
              </w:rPr>
              <w:t xml:space="preserve">Artykuł 10.</w:t>
            </w:r>
            <w:r>
              <w:rPr>
                <w:color w:val="000000"/>
                <w:sz w:val="22"/>
                <w:szCs w:val="22"/>
                <w:rFonts w:ascii="Garamond" w:hAnsi="Garamond"/>
              </w:rPr>
              <w:t xml:space="preserve"> </w:t>
            </w:r>
            <w:r>
              <w:rPr>
                <w:color w:val="000000"/>
                <w:sz w:val="22"/>
                <w:szCs w:val="22"/>
                <w:rFonts w:ascii="Garamond" w:hAnsi="Garamond"/>
              </w:rPr>
              <w:t xml:space="preserve">Ustęp 1.</w:t>
            </w:r>
            <w:r>
              <w:rPr>
                <w:color w:val="000000"/>
                <w:sz w:val="22"/>
                <w:szCs w:val="22"/>
                <w:rFonts w:ascii="Garamond" w:hAnsi="Garamond"/>
              </w:rPr>
              <w:t xml:space="preserve"> </w:t>
            </w:r>
            <w:r>
              <w:rPr>
                <w:color w:val="000000"/>
                <w:sz w:val="22"/>
                <w:szCs w:val="22"/>
                <w:rFonts w:ascii="Garamond" w:hAnsi="Garamond"/>
              </w:rPr>
              <w:t xml:space="preserve">Na opakowaniu jednostkowym lub opakowaniu zewnętrznym można umieścić tylko następujące adnotacje w sposób czytelny i jednolity:</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1° nazwę handlową;</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2° nazwę, adres pocztowy, adres elektroniczny i numer telefonu producenta;</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3° liczbę papierosów lub określenie wagi w gramach tytoniu do samodzielnego skręcania papierosów lub tytoniu do fajki wodnej;</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4° znak akcyzy;</w:t>
            </w:r>
            <w:r>
              <w:rPr>
                <w:color w:val="000000"/>
                <w:sz w:val="22"/>
                <w:szCs w:val="22"/>
                <w:rFonts w:ascii="Garamond" w:hAnsi="Garamond"/>
              </w:rPr>
              <w:t xml:space="preserve"> </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5° ostrzeżenia zdrowotne przewidziane w dekrecie królewskim z dnia 5 lutego 2016 r. w sprawie produkcji i wprowadzania do obrotu wyrobów tytoniowych;</w:t>
            </w: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6° pozostałe elementy obowiązkowe na mocy art. 15 i 16 dyrektywy 2014/40/UE.</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Ustęp 2.</w:t>
            </w:r>
            <w:r>
              <w:rPr>
                <w:color w:val="000000"/>
                <w:sz w:val="22"/>
                <w:szCs w:val="22"/>
                <w:rFonts w:ascii="Garamond" w:hAnsi="Garamond"/>
              </w:rPr>
              <w:t xml:space="preserve"> </w:t>
            </w:r>
            <w:r>
              <w:rPr>
                <w:color w:val="000000"/>
                <w:sz w:val="22"/>
                <w:szCs w:val="22"/>
                <w:rFonts w:ascii="Garamond" w:hAnsi="Garamond"/>
              </w:rPr>
              <w:t xml:space="preserve">Opakowania jednostkowe i opakowania zewnętrzne mogą zawierać kody kreskowe.</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Ustęp 3.</w:t>
            </w:r>
            <w:r>
              <w:rPr>
                <w:color w:val="000000"/>
                <w:sz w:val="22"/>
                <w:szCs w:val="22"/>
                <w:rFonts w:ascii="Garamond" w:hAnsi="Garamond"/>
              </w:rPr>
              <w:t xml:space="preserve"> </w:t>
            </w:r>
            <w:r>
              <w:rPr>
                <w:color w:val="000000"/>
                <w:sz w:val="22"/>
                <w:szCs w:val="22"/>
                <w:rFonts w:ascii="Garamond" w:hAnsi="Garamond"/>
              </w:rPr>
              <w:t xml:space="preserve">Nazwy handlowej nie można umieszczać wewnątrz opakowania jednostkowego ani wewnątrz opakowania zewnętrznego.</w:t>
            </w:r>
          </w:p>
          <w:p w:rsidR="00155940" w:rsidRPr="003E77DF" w:rsidRDefault="00155940" w:rsidP="00216FE2">
            <w:pPr>
              <w:tabs>
                <w:tab w:val="left" w:pos="355"/>
                <w:tab w:val="left" w:pos="2410"/>
              </w:tabs>
              <w:jc w:val="both"/>
              <w:rPr>
                <w:rFonts w:ascii="Garamond" w:hAnsi="Garamond"/>
                <w:color w:val="000000"/>
                <w:sz w:val="22"/>
                <w:szCs w:val="22"/>
                <w:lang w:val="fr-BE"/>
              </w:rPr>
            </w:pPr>
          </w:p>
          <w:p w:rsidR="00155940" w:rsidRPr="003E77DF" w:rsidRDefault="00155940" w:rsidP="00216FE2">
            <w:pPr>
              <w:tabs>
                <w:tab w:val="left" w:pos="355"/>
                <w:tab w:val="left" w:pos="2410"/>
              </w:tabs>
              <w:jc w:val="both"/>
              <w:rPr>
                <w:color w:val="000000"/>
                <w:sz w:val="22"/>
                <w:szCs w:val="22"/>
                <w:rFonts w:ascii="Garamond" w:hAnsi="Garamond"/>
              </w:rPr>
            </w:pPr>
            <w:r>
              <w:rPr>
                <w:color w:val="000000"/>
                <w:sz w:val="22"/>
                <w:szCs w:val="22"/>
                <w:rFonts w:ascii="Garamond" w:hAnsi="Garamond"/>
              </w:rPr>
              <w:t xml:space="preserve">Ustęp 4.</w:t>
            </w:r>
            <w:r>
              <w:rPr>
                <w:color w:val="000000"/>
                <w:sz w:val="22"/>
                <w:szCs w:val="22"/>
                <w:rFonts w:ascii="Garamond" w:hAnsi="Garamond"/>
              </w:rPr>
              <w:t xml:space="preserve"> </w:t>
            </w:r>
            <w:r>
              <w:rPr>
                <w:color w:val="000000"/>
                <w:sz w:val="22"/>
                <w:szCs w:val="22"/>
                <w:rFonts w:ascii="Garamond" w:hAnsi="Garamond"/>
              </w:rPr>
              <w:t xml:space="preserve">Minister określa umiejscowienie oraz zasady nadruku adnotacji dopuszczonych w ust. 1 i 2 na opakowaniach jednostkowych lub zewnętrznych, a także ich cechy.</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b/>
                <w:color w:val="000000"/>
                <w:sz w:val="22"/>
                <w:szCs w:val="22"/>
                <w:rFonts w:ascii="Garamond" w:hAnsi="Garamond"/>
              </w:rPr>
            </w:pPr>
            <w:r>
              <w:rPr>
                <w:b/>
                <w:color w:val="000000"/>
                <w:sz w:val="24"/>
                <w:szCs w:val="24"/>
                <w:rFonts w:ascii="Garamond" w:hAnsi="Garamond"/>
              </w:rPr>
              <w:t xml:space="preserve">ROZDZIAŁ 4 – Opakowania jednostkowe gilz do papierosów lub papieru do papierosów</w:t>
            </w:r>
          </w:p>
        </w:tc>
      </w:tr>
      <w:tr w:rsidR="00155940" w:rsidRPr="003E77DF" w:rsidTr="00216FE2">
        <w:trPr>
          <w:jc w:val="center"/>
        </w:trPr>
        <w:tc>
          <w:tcPr>
            <w:tcW w:w="9455" w:type="dxa"/>
          </w:tcPr>
          <w:p w:rsidR="00155940" w:rsidRPr="003E77DF" w:rsidRDefault="00155940" w:rsidP="003E77DF">
            <w:pPr>
              <w:keepNext/>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tabs>
                <w:tab w:val="left" w:pos="355"/>
                <w:tab w:val="left" w:pos="2410"/>
              </w:tabs>
              <w:jc w:val="both"/>
              <w:rPr>
                <w:b/>
                <w:color w:val="000000"/>
                <w:sz w:val="22"/>
                <w:szCs w:val="22"/>
                <w:rFonts w:ascii="Garamond" w:hAnsi="Garamond"/>
              </w:rPr>
            </w:pPr>
            <w:r>
              <w:rPr>
                <w:color w:val="000000"/>
                <w:sz w:val="22"/>
                <w:szCs w:val="22"/>
                <w:b/>
                <w:rFonts w:ascii="Garamond" w:hAnsi="Garamond"/>
              </w:rPr>
              <w:t xml:space="preserve">Artykuł 11.</w:t>
            </w:r>
            <w:r>
              <w:rPr>
                <w:color w:val="000000"/>
                <w:sz w:val="22"/>
                <w:szCs w:val="22"/>
                <w:b/>
                <w:rFonts w:ascii="Garamond" w:hAnsi="Garamond"/>
              </w:rPr>
              <w:t xml:space="preserve"> </w:t>
            </w:r>
            <w:r>
              <w:rPr>
                <w:color w:val="000000"/>
                <w:sz w:val="22"/>
                <w:szCs w:val="22"/>
                <w:rFonts w:ascii="Garamond" w:hAnsi="Garamond"/>
              </w:rPr>
              <w:t xml:space="preserve">Artykuły 4, 5, 6, 8 i 10 ust. 1 pkt 1° i 2°, ust. 2–4 mają zastosowanie do opakowań jednostkowych zawierających gilzy do papierosów, do opakowań jednostkowych zawierających papier do tytoniu do samodzielnego skręcania papierosów oraz do opakowań jednostkowych zawierających filtry, jeżeli ich nazwa handlowa zawdzięcza swoją renomę przede wszystkim wyrobowi na bazie tytoniu.</w:t>
            </w:r>
            <w:r>
              <w:rPr>
                <w:color w:val="000000"/>
                <w:sz w:val="22"/>
                <w:szCs w:val="22"/>
                <w:rFonts w:ascii="Garamond" w:hAnsi="Garamond"/>
              </w:rPr>
              <w:t xml:space="preserve"> </w:t>
            </w: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b/>
                <w:color w:val="000000"/>
                <w:sz w:val="22"/>
                <w:szCs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b/>
                <w:color w:val="000000"/>
                <w:sz w:val="22"/>
                <w:szCs w:val="22"/>
                <w:rFonts w:ascii="Garamond" w:hAnsi="Garamond"/>
              </w:rPr>
            </w:pPr>
            <w:r>
              <w:rPr>
                <w:b/>
                <w:sz w:val="24"/>
                <w:szCs w:val="24"/>
                <w:rFonts w:ascii="Garamond" w:hAnsi="Garamond"/>
              </w:rPr>
              <w:t xml:space="preserve">ROZDZIAŁ 5 – Przepisy końcowe</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b/>
                <w:sz w:val="24"/>
                <w:szCs w:val="24"/>
                <w:rFonts w:ascii="Garamond" w:hAnsi="Garamond"/>
              </w:rPr>
            </w:pPr>
            <w:r>
              <w:rPr>
                <w:b/>
                <w:bCs/>
                <w:color w:val="000000"/>
                <w:sz w:val="24"/>
                <w:szCs w:val="24"/>
                <w:rFonts w:ascii="Garamond" w:hAnsi="Garamond"/>
              </w:rPr>
              <w:t xml:space="preserve">Sekcja 1 – Kary</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lang w:val="fr-BE"/>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bCs/>
                <w:color w:val="000000"/>
                <w:sz w:val="22"/>
                <w:szCs w:val="22"/>
                <w:rFonts w:ascii="Garamond" w:hAnsi="Garamond"/>
              </w:rPr>
            </w:pPr>
            <w:r>
              <w:rPr>
                <w:bCs/>
                <w:color w:val="000000"/>
                <w:sz w:val="22"/>
                <w:szCs w:val="22"/>
                <w:b/>
                <w:rFonts w:ascii="Garamond" w:hAnsi="Garamond"/>
              </w:rPr>
              <w:t xml:space="preserve">Artykuł 12.</w:t>
            </w:r>
            <w:r>
              <w:rPr>
                <w:bCs/>
                <w:color w:val="000000"/>
                <w:sz w:val="22"/>
                <w:szCs w:val="22"/>
                <w:rFonts w:ascii="Garamond" w:hAnsi="Garamond"/>
              </w:rPr>
              <w:t xml:space="preserve"> </w:t>
            </w:r>
            <w:r>
              <w:rPr>
                <w:bCs/>
                <w:color w:val="000000"/>
                <w:sz w:val="22"/>
                <w:szCs w:val="22"/>
                <w:rFonts w:ascii="Garamond" w:hAnsi="Garamond"/>
              </w:rPr>
              <w:t xml:space="preserve">Ustęp 1.</w:t>
            </w:r>
            <w:r>
              <w:rPr>
                <w:bCs/>
                <w:color w:val="000000"/>
                <w:sz w:val="22"/>
                <w:szCs w:val="22"/>
                <w:rFonts w:ascii="Garamond" w:hAnsi="Garamond"/>
              </w:rPr>
              <w:t xml:space="preserve"> </w:t>
            </w:r>
            <w:r>
              <w:rPr>
                <w:bCs/>
                <w:color w:val="000000"/>
                <w:sz w:val="22"/>
                <w:szCs w:val="22"/>
                <w:rFonts w:ascii="Garamond" w:hAnsi="Garamond"/>
              </w:rPr>
              <w:t xml:space="preserve">Obowiązuje zakaz wprowadzania do obrotu wyrobów, które nie spełniają wymogów przewidzianych w przepisach niniejszego dekretu.</w:t>
            </w:r>
            <w:r>
              <w:rPr>
                <w:bCs/>
                <w:color w:val="000000"/>
                <w:sz w:val="22"/>
                <w:szCs w:val="22"/>
                <w:rFonts w:ascii="Garamond" w:hAnsi="Garamond"/>
              </w:rPr>
              <w:t xml:space="preserve"> </w:t>
            </w:r>
            <w:r>
              <w:rPr>
                <w:bCs/>
                <w:color w:val="000000"/>
                <w:sz w:val="22"/>
                <w:szCs w:val="22"/>
                <w:rFonts w:ascii="Garamond" w:hAnsi="Garamond"/>
              </w:rPr>
              <w:t xml:space="preserve">Wyroby te uważa się za szkodliwe zgodnie z art. 18 ustawy z dnia 24 stycznia 1977 r. o ochronie zdrowia konsumentów w odniesieniu do środków spożywczych i innych produktów.</w:t>
            </w:r>
          </w:p>
          <w:p w:rsidR="00155940" w:rsidRPr="003E77DF" w:rsidRDefault="00155940" w:rsidP="00216FE2">
            <w:pPr>
              <w:tabs>
                <w:tab w:val="left" w:pos="355"/>
                <w:tab w:val="left" w:pos="639"/>
              </w:tabs>
              <w:jc w:val="both"/>
              <w:rPr>
                <w:rFonts w:ascii="Garamond" w:hAnsi="Garamond"/>
                <w:bCs/>
                <w:color w:val="000000"/>
                <w:sz w:val="22"/>
                <w:szCs w:val="22"/>
                <w:lang w:val="fr-BE"/>
              </w:rPr>
            </w:pPr>
          </w:p>
          <w:p w:rsidR="00155940" w:rsidRPr="003E77DF" w:rsidRDefault="00155940" w:rsidP="003E77DF">
            <w:pPr>
              <w:tabs>
                <w:tab w:val="left" w:pos="355"/>
                <w:tab w:val="left" w:pos="639"/>
              </w:tabs>
              <w:jc w:val="both"/>
              <w:rPr>
                <w:b/>
                <w:bCs/>
                <w:color w:val="000000"/>
                <w:sz w:val="24"/>
                <w:szCs w:val="24"/>
                <w:rFonts w:ascii="Garamond" w:hAnsi="Garamond"/>
              </w:rPr>
            </w:pPr>
            <w:r>
              <w:rPr>
                <w:bCs/>
                <w:color w:val="000000"/>
                <w:sz w:val="22"/>
                <w:szCs w:val="22"/>
                <w:rFonts w:ascii="Garamond" w:hAnsi="Garamond"/>
              </w:rPr>
              <w:t xml:space="preserve">Ustęp 2.</w:t>
            </w:r>
            <w:r>
              <w:rPr>
                <w:bCs/>
                <w:color w:val="000000"/>
                <w:sz w:val="22"/>
                <w:szCs w:val="22"/>
                <w:rFonts w:ascii="Garamond" w:hAnsi="Garamond"/>
              </w:rPr>
              <w:t xml:space="preserve"> </w:t>
            </w:r>
            <w:r>
              <w:rPr>
                <w:bCs/>
                <w:color w:val="000000"/>
                <w:sz w:val="22"/>
                <w:szCs w:val="22"/>
                <w:rFonts w:ascii="Garamond" w:hAnsi="Garamond"/>
              </w:rPr>
              <w:t xml:space="preserve">Naruszenie przepisów niniejszego dekretu podlega ściganiu, rozpoznaniu i nałożeniu kary zgodnie z przepisami ustawy z dnia 24 stycznia 1977 r., o której mowa powyżej.</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bCs/>
                <w:color w:val="000000"/>
                <w:sz w:val="24"/>
                <w:szCs w:val="24"/>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b/>
                <w:bCs/>
                <w:color w:val="000000"/>
                <w:sz w:val="24"/>
                <w:szCs w:val="24"/>
                <w:rFonts w:ascii="Garamond" w:hAnsi="Garamond"/>
              </w:rPr>
            </w:pPr>
            <w:r>
              <w:rPr>
                <w:b/>
                <w:bCs/>
                <w:color w:val="000000"/>
                <w:sz w:val="24"/>
                <w:szCs w:val="24"/>
                <w:rFonts w:ascii="Garamond" w:hAnsi="Garamond"/>
              </w:rPr>
              <w:t xml:space="preserve">Sekcja 2 – Wejście w życie</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bCs/>
                <w:color w:val="000000"/>
                <w:sz w:val="24"/>
                <w:szCs w:val="24"/>
                <w:lang w:val="fr-BE"/>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b/>
                <w:bCs/>
                <w:color w:val="000000"/>
                <w:sz w:val="24"/>
                <w:szCs w:val="24"/>
                <w:rFonts w:ascii="Garamond" w:hAnsi="Garamond"/>
              </w:rPr>
            </w:pPr>
            <w:r>
              <w:rPr>
                <w:sz w:val="22"/>
                <w:b/>
                <w:rFonts w:ascii="Garamond" w:hAnsi="Garamond"/>
              </w:rPr>
              <w:t xml:space="preserve">Artykuł 13.</w:t>
            </w:r>
            <w:r>
              <w:rPr>
                <w:sz w:val="22"/>
                <w:rFonts w:ascii="Garamond" w:hAnsi="Garamond"/>
              </w:rPr>
              <w:t xml:space="preserve"> </w:t>
            </w:r>
            <w:r>
              <w:rPr>
                <w:sz w:val="22"/>
                <w:rFonts w:ascii="Garamond" w:hAnsi="Garamond"/>
              </w:rPr>
              <w:t xml:space="preserve">Niniejszy dekret wchodzi w życie w dniu 1 stycznia 2020 r., jednak w przypadku punktów detalicznych dekret wchodzi w życie w dniu 1 stycznia 2021 r.</w:t>
            </w:r>
            <w:r>
              <w:rPr>
                <w:sz w:val="22"/>
                <w:rFonts w:ascii="Garamond" w:hAnsi="Garamond"/>
              </w:rPr>
              <w:t xml:space="preserve"> </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sz w:val="22"/>
                <w:lang w:val="fr-BE"/>
              </w:rPr>
            </w:pP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b/>
                <w:sz w:val="22"/>
                <w:rFonts w:ascii="Garamond" w:hAnsi="Garamond"/>
              </w:rPr>
            </w:pPr>
            <w:r>
              <w:rPr>
                <w:b/>
                <w:bCs/>
                <w:color w:val="000000"/>
                <w:sz w:val="24"/>
                <w:szCs w:val="24"/>
                <w:rFonts w:ascii="Garamond" w:hAnsi="Garamond"/>
              </w:rPr>
              <w:t xml:space="preserve">Sekcja 3 - Wykonanie</w:t>
            </w:r>
          </w:p>
        </w:tc>
      </w:tr>
      <w:tr w:rsidR="00155940" w:rsidRPr="003E77DF" w:rsidTr="00216FE2">
        <w:trPr>
          <w:jc w:val="center"/>
        </w:trPr>
        <w:tc>
          <w:tcPr>
            <w:tcW w:w="9455" w:type="dxa"/>
          </w:tcPr>
          <w:p w:rsidR="00155940" w:rsidRPr="003E77DF" w:rsidRDefault="00155940" w:rsidP="003E77DF">
            <w:pPr>
              <w:keepNext/>
              <w:tabs>
                <w:tab w:val="left" w:pos="355"/>
                <w:tab w:val="left" w:pos="639"/>
              </w:tabs>
              <w:jc w:val="both"/>
              <w:rPr>
                <w:rFonts w:ascii="Garamond" w:hAnsi="Garamond"/>
                <w:b/>
                <w:sz w:val="22"/>
                <w:lang w:val="fr-BE"/>
              </w:rPr>
            </w:pPr>
          </w:p>
        </w:tc>
      </w:tr>
      <w:tr w:rsidR="00155940" w:rsidRPr="003E77DF" w:rsidTr="00216FE2">
        <w:trPr>
          <w:jc w:val="center"/>
        </w:trPr>
        <w:tc>
          <w:tcPr>
            <w:tcW w:w="9455" w:type="dxa"/>
          </w:tcPr>
          <w:p w:rsidR="00155940" w:rsidRPr="003E77DF" w:rsidRDefault="00155940" w:rsidP="003E77DF">
            <w:pPr>
              <w:tabs>
                <w:tab w:val="left" w:pos="355"/>
                <w:tab w:val="left" w:pos="639"/>
              </w:tabs>
              <w:jc w:val="both"/>
              <w:rPr>
                <w:b/>
                <w:sz w:val="22"/>
                <w:rFonts w:ascii="Garamond" w:hAnsi="Garamond"/>
              </w:rPr>
            </w:pPr>
            <w:r>
              <w:rPr>
                <w:sz w:val="22"/>
                <w:b/>
                <w:rFonts w:ascii="Garamond" w:hAnsi="Garamond"/>
              </w:rPr>
              <w:t xml:space="preserve">Artykuł 14.</w:t>
            </w:r>
            <w:r>
              <w:rPr>
                <w:sz w:val="22"/>
                <w:rFonts w:ascii="Garamond" w:hAnsi="Garamond"/>
              </w:rPr>
              <w:t xml:space="preserve"> </w:t>
            </w:r>
            <w:r>
              <w:rPr>
                <w:sz w:val="22"/>
                <w:rFonts w:ascii="Garamond" w:hAnsi="Garamond"/>
              </w:rPr>
              <w:t xml:space="preserve">Za wykonanie niniejszego dekretu odpowiada minister właściwy do spraw zdrowia publicznego.</w:t>
            </w: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
                <w:sz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639"/>
              </w:tabs>
              <w:jc w:val="both"/>
              <w:rPr>
                <w:rFonts w:ascii="Garamond" w:hAnsi="Garamond"/>
                <w:bCs/>
                <w:color w:val="000000"/>
                <w:sz w:val="22"/>
                <w:szCs w:val="22"/>
                <w:lang w:val="fr-BE"/>
              </w:rPr>
            </w:pPr>
          </w:p>
          <w:p w:rsidR="00155940" w:rsidRPr="003E77DF" w:rsidRDefault="00155940" w:rsidP="00216FE2">
            <w:pPr>
              <w:tabs>
                <w:tab w:val="left" w:pos="355"/>
                <w:tab w:val="left" w:pos="639"/>
              </w:tabs>
              <w:jc w:val="both"/>
              <w:rPr>
                <w:rFonts w:ascii="Garamond" w:hAnsi="Garamond"/>
                <w:b/>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5"/>
                <w:tab w:val="left" w:pos="2410"/>
              </w:tabs>
              <w:jc w:val="both"/>
              <w:rPr>
                <w:rFonts w:ascii="Garamond" w:hAnsi="Garamond"/>
                <w:color w:val="000000"/>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6"/>
                <w:tab w:val="left" w:pos="2410"/>
              </w:tabs>
              <w:jc w:val="both"/>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356"/>
                <w:tab w:val="left" w:pos="2410"/>
              </w:tabs>
              <w:jc w:val="both"/>
              <w:rPr>
                <w:sz w:val="22"/>
                <w:szCs w:val="22"/>
                <w:rFonts w:ascii="Garamond" w:hAnsi="Garamond"/>
              </w:rPr>
            </w:pPr>
            <w:r>
              <w:rPr>
                <w:sz w:val="22"/>
                <w:szCs w:val="22"/>
                <w:rFonts w:ascii="Garamond" w:hAnsi="Garamond"/>
              </w:rPr>
              <w:t xml:space="preserve">     </w:t>
            </w:r>
            <w:r>
              <w:rPr>
                <w:sz w:val="22"/>
                <w:szCs w:val="22"/>
                <w:rFonts w:ascii="Garamond" w:hAnsi="Garamond"/>
              </w:rPr>
              <w:t xml:space="preserve">, dnia</w:t>
            </w:r>
            <w:r>
              <w:rPr>
                <w:sz w:val="22"/>
                <w:szCs w:val="22"/>
                <w:rFonts w:ascii="Garamond" w:hAnsi="Garamond"/>
              </w:rPr>
              <w:t xml:space="preserve"> </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sz w:val="22"/>
                <w:szCs w:val="22"/>
                <w:rFonts w:ascii="Garamond" w:hAnsi="Garamond"/>
              </w:rPr>
            </w:pPr>
            <w:r>
              <w:rPr>
                <w:sz w:val="22"/>
                <w:szCs w:val="22"/>
                <w:rFonts w:ascii="Garamond" w:hAnsi="Garamond"/>
              </w:rPr>
              <w:t xml:space="preserve">W imieniu Króla:</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sz w:val="22"/>
                <w:szCs w:val="22"/>
                <w:u w:val="single"/>
                <w:rFonts w:ascii="Garamond" w:hAnsi="Garamond"/>
              </w:rPr>
            </w:pPr>
            <w:r>
              <w:rPr>
                <w:bCs/>
                <w:sz w:val="22"/>
                <w:szCs w:val="22"/>
                <w:rFonts w:ascii="Garamond" w:hAnsi="Garamond"/>
              </w:rPr>
              <w:t xml:space="preserve">Minister Zdrowia Publicznego</w:t>
            </w: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sz w:val="22"/>
                <w:szCs w:val="22"/>
                <w:rFonts w:ascii="Garamond" w:hAnsi="Garamond"/>
              </w:rPr>
            </w:pPr>
            <w:r>
              <w:rPr>
                <w:sz w:val="22"/>
                <w:szCs w:val="22"/>
                <w:rFonts w:ascii="Garamond" w:hAnsi="Garamond"/>
              </w:rPr>
              <w:t xml:space="preserve">Maggie DE BLOCK</w:t>
            </w:r>
          </w:p>
        </w:tc>
      </w:tr>
      <w:tr w:rsidR="00155940" w:rsidRPr="003E77DF" w:rsidTr="00216FE2">
        <w:trPr>
          <w:jc w:val="center"/>
        </w:trPr>
        <w:tc>
          <w:tcPr>
            <w:tcW w:w="9455" w:type="dxa"/>
          </w:tcPr>
          <w:p w:rsidR="00155940" w:rsidRPr="003E77DF" w:rsidRDefault="00155940" w:rsidP="00216FE2">
            <w:pPr>
              <w:tabs>
                <w:tab w:val="left" w:pos="2410"/>
              </w:tabs>
              <w:jc w:val="both"/>
              <w:rPr>
                <w:rFonts w:ascii="Garamond" w:hAnsi="Garamond"/>
                <w:sz w:val="22"/>
                <w:szCs w:val="22"/>
                <w:u w:val="single"/>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sz w:val="22"/>
                <w:szCs w:val="22"/>
                <w:lang w:val="nl-NL"/>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p w:rsidR="00155940" w:rsidRPr="003E77DF" w:rsidRDefault="00155940" w:rsidP="00216FE2">
            <w:pPr>
              <w:tabs>
                <w:tab w:val="left" w:pos="2410"/>
              </w:tabs>
              <w:jc w:val="center"/>
              <w:rPr>
                <w:rFonts w:ascii="Garamond" w:hAnsi="Garamond" w:cs="Arial"/>
                <w:bCs/>
                <w:sz w:val="22"/>
                <w:szCs w:val="22"/>
                <w:lang w:val="fr-BE"/>
              </w:rPr>
            </w:pPr>
          </w:p>
        </w:tc>
      </w:tr>
      <w:tr w:rsidR="00155940" w:rsidRPr="003E77DF" w:rsidTr="00216FE2">
        <w:trPr>
          <w:jc w:val="center"/>
        </w:trPr>
        <w:tc>
          <w:tcPr>
            <w:tcW w:w="9455" w:type="dxa"/>
          </w:tcPr>
          <w:tbl>
            <w:tblPr>
              <w:tblW w:w="9498" w:type="dxa"/>
              <w:jc w:val="center"/>
              <w:tblLayout w:type="fixed"/>
              <w:tblCellMar>
                <w:left w:w="70" w:type="dxa"/>
                <w:right w:w="70" w:type="dxa"/>
              </w:tblCellMar>
              <w:tblLook w:val="0000" w:firstRow="0" w:lastRow="0" w:firstColumn="0" w:lastColumn="0" w:noHBand="0" w:noVBand="0"/>
            </w:tblPr>
            <w:tblGrid>
              <w:gridCol w:w="9498"/>
            </w:tblGrid>
            <w:tr w:rsidR="00155940" w:rsidRPr="003E77DF" w:rsidTr="002033ED">
              <w:trPr>
                <w:trHeight w:val="220"/>
                <w:jc w:val="center"/>
              </w:trPr>
              <w:tc>
                <w:tcPr>
                  <w:tcW w:w="9412" w:type="dxa"/>
                </w:tcPr>
                <w:p w:rsidR="00155940" w:rsidRPr="003E77DF" w:rsidRDefault="00155940" w:rsidP="00216FE2">
                  <w:pPr>
                    <w:jc w:val="center"/>
                    <w:rPr>
                      <w:sz w:val="22"/>
                      <w:rFonts w:ascii="Garamond" w:hAnsi="Garamond"/>
                    </w:rPr>
                  </w:pPr>
                  <w:r>
                    <w:rPr>
                      <w:sz w:val="22"/>
                      <w:rFonts w:ascii="Garamond" w:hAnsi="Garamond"/>
                    </w:rPr>
                    <w:t xml:space="preserve">Minister Gospodarki,</w:t>
                  </w:r>
                </w:p>
              </w:tc>
            </w:tr>
            <w:tr w:rsidR="00155940" w:rsidRPr="003E77DF" w:rsidTr="002033ED">
              <w:trPr>
                <w:trHeight w:val="220"/>
                <w:jc w:val="center"/>
              </w:trPr>
              <w:tc>
                <w:tcPr>
                  <w:tcW w:w="9412" w:type="dxa"/>
                </w:tcPr>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NL"/>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p w:rsidR="00155940" w:rsidRPr="003E77DF" w:rsidRDefault="00155940" w:rsidP="00216FE2">
                  <w:pPr>
                    <w:rPr>
                      <w:rFonts w:ascii="Garamond" w:hAnsi="Garamond"/>
                      <w:sz w:val="22"/>
                      <w:lang w:val="nl-BE"/>
                    </w:rPr>
                  </w:pPr>
                </w:p>
              </w:tc>
            </w:tr>
            <w:tr w:rsidR="00155940" w:rsidRPr="003E77DF" w:rsidTr="002033ED">
              <w:trPr>
                <w:trHeight w:val="220"/>
                <w:jc w:val="center"/>
              </w:trPr>
              <w:tc>
                <w:tcPr>
                  <w:tcW w:w="9412" w:type="dxa"/>
                </w:tcPr>
                <w:p w:rsidR="00155940" w:rsidRPr="003E77DF" w:rsidRDefault="00155940" w:rsidP="00216FE2">
                  <w:pPr>
                    <w:jc w:val="center"/>
                    <w:rPr>
                      <w:sz w:val="22"/>
                      <w:rFonts w:ascii="Garamond" w:hAnsi="Garamond"/>
                    </w:rPr>
                  </w:pPr>
                  <w:r>
                    <w:rPr>
                      <w:sz w:val="22"/>
                      <w:rFonts w:ascii="Garamond" w:hAnsi="Garamond"/>
                    </w:rPr>
                    <w:t xml:space="preserve">Kris PEETERS</w:t>
                  </w: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jc w:val="center"/>
                    <w:rPr>
                      <w:rFonts w:ascii="Garamond" w:hAnsi="Garamond"/>
                      <w:sz w:val="22"/>
                      <w:lang w:val="nl-NL"/>
                    </w:rPr>
                  </w:pPr>
                </w:p>
                <w:p w:rsidR="00155940" w:rsidRPr="003E77DF" w:rsidRDefault="00155940" w:rsidP="00216FE2">
                  <w:pPr>
                    <w:rPr>
                      <w:rFonts w:ascii="Garamond" w:hAnsi="Garamond"/>
                      <w:sz w:val="22"/>
                      <w:lang w:val="nl-BE"/>
                    </w:rPr>
                  </w:pPr>
                </w:p>
              </w:tc>
            </w:tr>
            <w:tr w:rsidR="00155940" w:rsidRPr="003E77DF" w:rsidTr="002033ED">
              <w:trPr>
                <w:trHeight w:val="220"/>
                <w:jc w:val="center"/>
              </w:trPr>
              <w:tc>
                <w:tcPr>
                  <w:tcW w:w="9412" w:type="dxa"/>
                </w:tcPr>
                <w:p w:rsidR="00155940" w:rsidRPr="003E77DF" w:rsidRDefault="00155940" w:rsidP="00216FE2">
                  <w:pPr>
                    <w:rPr>
                      <w:rFonts w:ascii="Garamond" w:hAnsi="Garamond"/>
                      <w:sz w:val="22"/>
                      <w:lang w:val="nl-NL"/>
                    </w:rPr>
                  </w:pPr>
                </w:p>
              </w:tc>
            </w:tr>
            <w:tr w:rsidR="00155940" w:rsidRPr="003E77DF" w:rsidTr="002033ED">
              <w:trPr>
                <w:trHeight w:val="220"/>
                <w:jc w:val="center"/>
              </w:trPr>
              <w:tc>
                <w:tcPr>
                  <w:tcW w:w="9412" w:type="dxa"/>
                </w:tcPr>
                <w:p w:rsidR="00155940" w:rsidRPr="003E77DF" w:rsidRDefault="00155940" w:rsidP="00216FE2">
                  <w:pPr>
                    <w:pStyle w:val="BodyText"/>
                    <w:jc w:val="center"/>
                    <w:rPr>
                      <w:rFonts w:ascii="Garamond" w:hAnsi="Garamond"/>
                    </w:rPr>
                  </w:pPr>
                  <w:r>
                    <w:rPr>
                      <w:rFonts w:ascii="Garamond" w:hAnsi="Garamond"/>
                    </w:rPr>
                    <w:t xml:space="preserve">Minister Klas Średnich</w:t>
                  </w:r>
                </w:p>
              </w:tc>
            </w:tr>
            <w:tr w:rsidR="00155940" w:rsidRPr="003E77DF" w:rsidTr="002033ED">
              <w:trPr>
                <w:trHeight w:val="220"/>
                <w:jc w:val="center"/>
              </w:trPr>
              <w:tc>
                <w:tcPr>
                  <w:tcW w:w="9412" w:type="dxa"/>
                </w:tcPr>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pStyle w:val="BodyText"/>
                    <w:jc w:val="left"/>
                    <w:rPr>
                      <w:rFonts w:ascii="Garamond" w:hAnsi="Garamond"/>
                      <w:lang w:val="fr-BE"/>
                    </w:rPr>
                  </w:pPr>
                </w:p>
                <w:p w:rsidR="00155940" w:rsidRPr="003E77DF" w:rsidRDefault="00155940" w:rsidP="00216FE2">
                  <w:pPr>
                    <w:rPr>
                      <w:rFonts w:ascii="Garamond" w:hAnsi="Garamond"/>
                      <w:sz w:val="22"/>
                      <w:lang w:val="fr-BE"/>
                    </w:rPr>
                  </w:pPr>
                </w:p>
              </w:tc>
            </w:tr>
            <w:tr w:rsidR="00155940" w:rsidRPr="003E77DF" w:rsidTr="002033ED">
              <w:trPr>
                <w:trHeight w:val="220"/>
                <w:jc w:val="center"/>
              </w:trPr>
              <w:tc>
                <w:tcPr>
                  <w:tcW w:w="9412" w:type="dxa"/>
                </w:tcPr>
                <w:p w:rsidR="00155940" w:rsidRPr="003E77DF" w:rsidRDefault="00155940" w:rsidP="00216FE2">
                  <w:pPr>
                    <w:jc w:val="center"/>
                    <w:rPr>
                      <w:sz w:val="22"/>
                      <w:rFonts w:ascii="Garamond" w:hAnsi="Garamond"/>
                    </w:rPr>
                  </w:pPr>
                  <w:r>
                    <w:rPr>
                      <w:sz w:val="22"/>
                      <w:rFonts w:ascii="Garamond" w:hAnsi="Garamond"/>
                    </w:rPr>
                    <w:t xml:space="preserve">Denis DUCARME</w:t>
                  </w:r>
                </w:p>
              </w:tc>
            </w:tr>
          </w:tbl>
          <w:p w:rsidR="00155940" w:rsidRPr="003E77DF" w:rsidRDefault="00155940" w:rsidP="00216FE2">
            <w:pPr>
              <w:tabs>
                <w:tab w:val="left" w:pos="2410"/>
              </w:tabs>
              <w:jc w:val="center"/>
              <w:rPr>
                <w:rFonts w:ascii="Garamond" w:hAnsi="Garamond" w:cs="Arial"/>
                <w:bCs/>
                <w:sz w:val="22"/>
                <w:szCs w:val="22"/>
                <w:lang w:val="fr-BE"/>
              </w:rPr>
            </w:pPr>
          </w:p>
        </w:tc>
      </w:tr>
    </w:tbl>
    <w:p w:rsidR="00762BEB" w:rsidRPr="003E77DF" w:rsidRDefault="00762BEB"/>
    <w:sectPr w:rsidR="00762BEB" w:rsidRPr="003E77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089" w:rsidRDefault="003C2089" w:rsidP="007E4691">
      <w:r>
        <w:separator/>
      </w:r>
    </w:p>
  </w:endnote>
  <w:endnote w:type="continuationSeparator" w:id="0">
    <w:p w:rsidR="003C2089" w:rsidRDefault="003C2089" w:rsidP="007E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089" w:rsidRDefault="003C2089" w:rsidP="007E4691">
      <w:r>
        <w:separator/>
      </w:r>
    </w:p>
  </w:footnote>
  <w:footnote w:type="continuationSeparator" w:id="0">
    <w:p w:rsidR="003C2089" w:rsidRDefault="003C2089" w:rsidP="007E46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0"/>
    <w:rsid w:val="000A22E3"/>
    <w:rsid w:val="00155940"/>
    <w:rsid w:val="00216FE2"/>
    <w:rsid w:val="003C2089"/>
    <w:rsid w:val="003E77DF"/>
    <w:rsid w:val="00596223"/>
    <w:rsid w:val="0067340B"/>
    <w:rsid w:val="00762BEB"/>
    <w:rsid w:val="007E4691"/>
  </w:rsids>
  <m:mathPr>
    <m:mathFont m:val="Cambria Math"/>
    <m:brkBin m:val="before"/>
    <m:brkBinSub m:val="--"/>
    <m:smallFrac m:val="0"/>
    <m:dispDef/>
    <m:lMargin m:val="0"/>
    <m:rMargin m:val="0"/>
    <m:defJc m:val="centerGroup"/>
    <m:wrapIndent m:val="1440"/>
    <m:intLim m:val="subSup"/>
    <m:naryLim m:val="undOvr"/>
  </m:mathPr>
  <w:themeFontLang w:val="en-US" w:eastAsia="zh-CN" w:bidi="yi-He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58EB9A-D74F-41CE-949D-D6E50EC60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940"/>
    <w:pPr>
      <w:spacing w:after="0" w:line="240" w:lineRule="auto"/>
    </w:pPr>
    <w:rPr>
      <w:rFonts w:ascii="Times New Roman" w:eastAsia="Times New Roman" w:hAnsi="Times New Roman" w:cs="Times New Roman"/>
      <w:sz w:val="20"/>
      <w:szCs w:val="20"/>
      <w:lang w:val="pl-PL" w:eastAsia="nl-NL"/>
    </w:rPr>
  </w:style>
  <w:style w:type="paragraph" w:styleId="Heading1">
    <w:name w:val="heading 1"/>
    <w:basedOn w:val="Normal"/>
    <w:next w:val="Normal"/>
    <w:link w:val="Heading1Char"/>
    <w:qFormat/>
    <w:rsid w:val="00155940"/>
    <w:pPr>
      <w:keepNext/>
      <w:tabs>
        <w:tab w:val="left" w:pos="567"/>
        <w:tab w:val="left" w:pos="2410"/>
      </w:tabs>
      <w:jc w:val="both"/>
      <w:outlineLvl w:val="0"/>
    </w:pPr>
    <w:rPr>
      <w:sz w:val="24"/>
    </w:rPr>
  </w:style>
  <w:style w:type="paragraph" w:styleId="Heading2">
    <w:name w:val="heading 2"/>
    <w:basedOn w:val="Normal"/>
    <w:next w:val="Normal"/>
    <w:link w:val="Heading2Char"/>
    <w:qFormat/>
    <w:rsid w:val="00155940"/>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40"/>
    <w:rPr>
      <w:rFonts w:ascii="Times New Roman" w:eastAsia="Times New Roman" w:hAnsi="Times New Roman" w:cs="Times New Roman"/>
      <w:sz w:val="24"/>
      <w:szCs w:val="20"/>
      <w:lang w:val="pl-PL" w:eastAsia="nl-NL"/>
    </w:rPr>
  </w:style>
  <w:style w:type="character" w:customStyle="1" w:styleId="Heading2Char">
    <w:name w:val="Heading 2 Char"/>
    <w:basedOn w:val="DefaultParagraphFont"/>
    <w:link w:val="Heading2"/>
    <w:rsid w:val="00155940"/>
    <w:rPr>
      <w:rFonts w:ascii="Times New Roman" w:eastAsia="Times New Roman" w:hAnsi="Times New Roman" w:cs="Times New Roman"/>
      <w:b/>
      <w:sz w:val="20"/>
      <w:szCs w:val="20"/>
      <w:lang w:val="pl-PL" w:eastAsia="nl-NL"/>
    </w:rPr>
  </w:style>
  <w:style w:type="paragraph" w:styleId="Footer">
    <w:name w:val="footer"/>
    <w:basedOn w:val="Normal"/>
    <w:link w:val="FooterChar"/>
    <w:uiPriority w:val="99"/>
    <w:rsid w:val="00155940"/>
    <w:pPr>
      <w:tabs>
        <w:tab w:val="center" w:pos="4536"/>
        <w:tab w:val="right" w:pos="9072"/>
      </w:tabs>
    </w:pPr>
  </w:style>
  <w:style w:type="character" w:customStyle="1" w:styleId="FooterChar">
    <w:name w:val="Footer Char"/>
    <w:basedOn w:val="DefaultParagraphFont"/>
    <w:link w:val="Footer"/>
    <w:uiPriority w:val="99"/>
    <w:rsid w:val="00155940"/>
    <w:rPr>
      <w:rFonts w:ascii="Times New Roman" w:eastAsia="Times New Roman" w:hAnsi="Times New Roman" w:cs="Times New Roman"/>
      <w:sz w:val="20"/>
      <w:szCs w:val="20"/>
      <w:lang w:val="pl-PL" w:eastAsia="nl-NL"/>
    </w:rPr>
  </w:style>
  <w:style w:type="paragraph" w:styleId="BodyText">
    <w:name w:val="Body Text"/>
    <w:basedOn w:val="Normal"/>
    <w:link w:val="BodyTextChar"/>
    <w:rsid w:val="00155940"/>
    <w:pPr>
      <w:tabs>
        <w:tab w:val="left" w:pos="2410"/>
      </w:tabs>
      <w:jc w:val="both"/>
    </w:pPr>
    <w:rPr>
      <w:sz w:val="22"/>
    </w:rPr>
  </w:style>
  <w:style w:type="character" w:customStyle="1" w:styleId="BodyTextChar">
    <w:name w:val="Body Text Char"/>
    <w:basedOn w:val="DefaultParagraphFont"/>
    <w:link w:val="BodyText"/>
    <w:rsid w:val="00155940"/>
    <w:rPr>
      <w:rFonts w:ascii="Times New Roman" w:eastAsia="Times New Roman" w:hAnsi="Times New Roman" w:cs="Times New Roman"/>
      <w:szCs w:val="20"/>
      <w:lang w:val="pl-PL" w:eastAsia="nl-NL"/>
    </w:rPr>
  </w:style>
  <w:style w:type="paragraph" w:styleId="Header">
    <w:name w:val="header"/>
    <w:basedOn w:val="Normal"/>
    <w:link w:val="HeaderChar"/>
    <w:uiPriority w:val="99"/>
    <w:unhideWhenUsed/>
    <w:rsid w:val="007E4691"/>
    <w:pPr>
      <w:tabs>
        <w:tab w:val="center" w:pos="4320"/>
        <w:tab w:val="right" w:pos="8640"/>
      </w:tabs>
    </w:pPr>
  </w:style>
  <w:style w:type="character" w:customStyle="1" w:styleId="HeaderChar">
    <w:name w:val="Header Char"/>
    <w:basedOn w:val="DefaultParagraphFont"/>
    <w:link w:val="Header"/>
    <w:uiPriority w:val="99"/>
    <w:rsid w:val="007E4691"/>
    <w:rPr>
      <w:rFonts w:ascii="Times New Roman" w:eastAsia="Times New Roman" w:hAnsi="Times New Roman" w:cs="Times New Roman"/>
      <w:sz w:val="20"/>
      <w:szCs w:val="20"/>
      <w:lang w:val="pl-P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1470</Words>
  <Characters>8385</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SPF/FOD Economie</Company>
  <LinksUpToDate>false</LinksUpToDate>
  <CharactersWithSpaces>9836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CRAVOTTA Cataldo</dc:creator>
  <cp:lastModifiedBy>Liu, Lei</cp:lastModifiedBy>
  <cp:revision>3</cp:revision>
  <dcterms:created xsi:type="dcterms:W3CDTF">2018-09-10T08:36:00Z</dcterms:created>
  <dcterms:modified xsi:type="dcterms:W3CDTF">2018-09-10T10:01:00Z</dcterms:modified>
</cp:coreProperties>
</file>