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  <w:lang w:val="da-DK"/>
        </w:rPr>
      </w:pPr>
    </w:p>
    <w:p w:rsidR="00D55707" w:rsidRDefault="00D55707" w:rsidP="00D55707">
      <w:pPr>
        <w:pStyle w:val="PlainText"/>
        <w:ind w:firstLine="708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------IND- 2019 0600 D BG- ------ 20191209 --- --- PROJET</w:t>
      </w:r>
      <w:r>
        <w:rPr>
          <w:sz w:val="20"/>
          <w:szCs w:val="20"/>
          <w:rFonts w:ascii="Courier New" w:hAnsi="Courier New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Провинциална наредба за изменение на Провинциалната наредба</w:t>
        <w:br/>
        <w:t xml:space="preserve">за предотвратяване на трансмисивни болести (HygieneVO)</w:t>
      </w:r>
      <w:r w:rsidR="00D21937" w:rsidRPr="008D4122"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color w:val="000000"/>
          <w:rFonts w:ascii="Arial" w:hAnsi="Arial"/>
        </w:rPr>
        <w:br/>
        <w:t xml:space="preserve">От</w:t>
      </w:r>
      <w:r>
        <w:rPr>
          <w:color w:val="000000"/>
          <w:rFonts w:ascii="Arial" w:hAnsi="Arial"/>
        </w:rPr>
        <w:t xml:space="preserve"> </w:t>
        <w:br/>
        <w:t xml:space="preserve"> </w:t>
        <w:br/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На основание параграф 17, четвърта алинея от Закона за защита от инфекции от 20 юли 2000 г. (ДВ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I, стр. 1045), последно изменен с член 18а от наредбата от 9 август 2019 г. (ДВ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I, стр. 1202), във връзка с параграф 1, първа алинея от Наредбата за делегиране на правомощия съгласно Закона за защита от инфекции от 22 февруари 2001 г. (ДВ Шлезвиг-Холщайн, стр. 35) — наименования на отдели, последно изменена с член 21 от наредбата от 16 януари 2019 г. (ДВ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Шлезвиг-Холщайн, стр. 30), Министерството на социалните грижи, здравеопазването, младежта, семейството и възрастните хора приема следната наредба:</w:t>
      </w:r>
      <w:r>
        <w:rPr>
          <w:color w:val="000000"/>
          <w:rFonts w:ascii="Arial" w:hAnsi="Arial"/>
        </w:rPr>
        <w:t xml:space="preserve"> </w:t>
      </w:r>
    </w:p>
    <w:p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 </w:t>
      </w:r>
      <w:r>
        <w:rPr>
          <w:color w:val="000000"/>
          <w:rFonts w:ascii="Arial" w:hAnsi="Arial"/>
        </w:rPr>
        <w:t xml:space="preserve">1.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Параграф 3, първа алинея придобива следната редакция:</w:t>
      </w:r>
      <w:r>
        <w:rPr>
          <w:color w:val="000000"/>
          <w:rFonts w:ascii="Arial" w:hAnsi="Arial"/>
        </w:rPr>
        <w:t xml:space="preserve"> </w:t>
      </w:r>
    </w:p>
    <w:p w:rsidR="000A4C53" w:rsidRDefault="0016494F" w:rsidP="00502122">
      <w:pPr>
        <w:spacing w:before="100" w:beforeAutospacing="1" w:after="100" w:afterAutospacing="1"/>
        <w:ind w:left="567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„(1) Инвентарът във всички предназначени за диагностициране и лечение помещения, в които следва да се очаква замърсяване с телесни течности и други съдържащи патогени материали, трябва да може да се почиства с мокро почистване и да се дезинфекцира.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Всички дезинфекциращи средства, които се използват, трябва да бъдат подходящи за превенция на инфекциите в медицински заведения и доказано ефективни.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Действието за съответната необходима област на действие трябва да бъде най-малкото бактерицидно, дрождецидно и ограничено вирусоцидно, при необходимост — освен това фунгицидно, туберкулоцидно, микобактерицидно и ефективно срещу бактериални спори.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То трябва да е доказано с най-малко две независими едно от друго експертни заключения, придружени от прилежащите към тях доклади за проучване.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Ефикасността се счита за потвърдена, когато проучванията са проведени от независими от производителя изпитвателни лаборатории и докладите за проучванията са потвърдени от независими експерти в рамките на мотивирана научна оценка.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Изпитвателните лаборатории трябва да имат нужната компетентност, която може да се удостовери напр. с акредитация съгласно стандарт DIN ISO EN 17025:2018-03 от март 2018 г.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Приложимият метод за проучване трябва да е валидиран напр. чрез междулабораторни сравнения, за да може да се вземе под внимание статистическата изменчивост, която включва най-малко две задължителни повторения на теста.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Проучвания, проведени в съответствие с технически спецификации, валидни в друга държава — членка на Европейския съюз или в Република Турция, или в държава, която е страна по Споразумението за Европейското икономическо пространство, се признават за равностойни, ако техническите спецификации постигат трайно същото ниво на защита, изисквано в изречение 2.“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2.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Параграф 5 придобива следната редакция: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bookmarkStart w:id="1" w:name="6"/>
      <w:r>
        <w:rPr>
          <w:color w:val="000000"/>
          <w:rFonts w:ascii="Arial" w:hAnsi="Arial"/>
        </w:rPr>
        <w:t xml:space="preserve">„ </w:t>
      </w:r>
      <w:bookmarkStart w:id="2" w:name="7"/>
      <w:bookmarkEnd w:id="1"/>
      <w:r>
        <w:rPr>
          <w:color w:val="000000"/>
          <w:rFonts w:ascii="Arial" w:hAnsi="Arial"/>
        </w:rPr>
        <w:t xml:space="preserve">Параграф 5 </w:t>
        <w:br/>
        <w:t xml:space="preserve">Административни нарушения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320C14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(1) Административно нарушение по смисъла на параграф 73, алинея 1а, точка 6 от Закона за защита от инфекции извършва лице, което умишлено или поради небрежност: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в нарушение на параграф 3 не извършва почистването, дезинфекцията или стерилизацията при прилагане на подходящ метод или ги извършва в недостатъчна степен, или не съхранява оборудването на защитено от замърсявания място,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прилага различни от посочените в параграф 3 средства и методи за дезинфекция,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в нарушение на параграф 4 не изхвърля посочените в тази разпоредба уреди и други предмети в подходящи контейнери,</w:t>
      </w:r>
      <w:r>
        <w:rPr>
          <w:color w:val="000000"/>
          <w:rFonts w:ascii="Arial" w:hAnsi="Arial"/>
        </w:rPr>
        <w:t xml:space="preserve">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нарушава задължение за изтърпяване или предоставяне на информация по смисъла на параграф 73, алинея 1а, точки 3 и 4 от Закона за защита от инфекции или задължението за представяне на документи, по-конкретно на график за хигиенни дейности, по смисъла на параграф 73, алинея 1а, точка 5 от Закона за защита от инфекции,</w:t>
      </w:r>
    </w:p>
    <w:p w:rsidR="00E02ECA" w:rsidRPr="00A327F3" w:rsidRDefault="00E02ECA" w:rsidP="00E02ECA">
      <w:pPr>
        <w:autoSpaceDE w:val="0"/>
        <w:autoSpaceDN w:val="0"/>
        <w:adjustRightInd w:val="0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или умишлено или поради небрежност нарушава съответно подлежащо на изпълнение разпореждане по смисъла на параграф 17, първа алинея от Закона за защита от инфекции.“</w:t>
      </w:r>
    </w:p>
    <w:p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3.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Настоящата наредба влиза в сила от деня след обнародването.</w:t>
      </w:r>
    </w:p>
    <w:bookmarkEnd w:id="2"/>
    <w:p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С настоящото представената наредба се изготвя и следва да се обнародва.</w:t>
      </w:r>
    </w:p>
    <w:p w:rsidR="00053A17" w:rsidRPr="00E02ECA" w:rsidRDefault="0072626E" w:rsidP="00053A17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Киел,</w:t>
      </w:r>
      <w:r>
        <w:rPr>
          <w:color w:val="000000"/>
          <w:rFonts w:ascii="Arial" w:hAnsi="Arial"/>
        </w:rPr>
        <w:t xml:space="preserve"> </w:t>
      </w: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Д-р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Министър на социалните грижи, здравеопазването, семейството, младежта, </w:t>
        <w:br/>
        <w:t xml:space="preserve">семейството и възрастните хора</w:t>
      </w:r>
    </w:p>
    <w:p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3F" w:rsidRDefault="0027693F">
      <w:r>
        <w:separator/>
      </w:r>
    </w:p>
  </w:endnote>
  <w:endnote w:type="continuationSeparator" w:id="0">
    <w:p w:rsidR="0027693F" w:rsidRDefault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3F" w:rsidRDefault="0027693F">
      <w:r>
        <w:separator/>
      </w:r>
    </w:p>
  </w:footnote>
  <w:footnote w:type="continuationSeparator" w:id="0">
    <w:p w:rsidR="0027693F" w:rsidRDefault="0027693F">
      <w:r>
        <w:continuationSeparator/>
      </w:r>
    </w:p>
  </w:footnote>
  <w:footnote w:id="1"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Нотифицирано съгласно изискванията на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 241,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 xml:space="preserve">Редакция:</w:t>
    </w:r>
    <w:r>
      <w:t xml:space="preserve"> </w:t>
    </w:r>
    <w:r>
      <w:t xml:space="preserve">7.11.2019 г.</w:t>
    </w:r>
  </w:p>
  <w:p w:rsidR="00604531" w:rsidRDefault="00604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val="bg-BG" w:eastAsia="en-US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AFD120-7762-4406-8A73-8C2204F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Varga, Eszter</cp:lastModifiedBy>
  <cp:revision>2</cp:revision>
  <cp:lastPrinted>2007-07-05T12:39:00Z</cp:lastPrinted>
  <dcterms:created xsi:type="dcterms:W3CDTF">2019-12-02T12:02:00Z</dcterms:created>
  <dcterms:modified xsi:type="dcterms:W3CDTF">2019-12-02T12:02:00Z</dcterms:modified>
</cp:coreProperties>
</file>