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53" w:rsidRPr="00E02ECA" w:rsidRDefault="000A4C53" w:rsidP="000A4C53">
      <w:pPr>
        <w:spacing w:before="100" w:beforeAutospacing="1" w:after="100" w:afterAutospacing="1"/>
        <w:jc w:val="center"/>
        <w:rPr>
          <w:rFonts w:ascii="Arial" w:hAnsi="Arial" w:cs="Arial"/>
          <w:color w:val="000000"/>
        </w:rPr>
      </w:pPr>
      <w:bookmarkStart w:id="0" w:name="_GoBack"/>
      <w:bookmarkEnd w:id="0"/>
      <w:r w:rsidRPr="00E02ECA">
        <w:rPr>
          <w:rFonts w:ascii="Arial" w:hAnsi="Arial" w:cs="Arial"/>
          <w:color w:val="000000"/>
        </w:rPr>
        <w:t xml:space="preserve">Landesverordnung </w:t>
      </w:r>
      <w:r w:rsidR="00CD56BF">
        <w:rPr>
          <w:rFonts w:ascii="Arial" w:hAnsi="Arial" w:cs="Arial"/>
          <w:color w:val="000000"/>
        </w:rPr>
        <w:t>zur Änderung der Landesverordnung</w:t>
      </w:r>
      <w:r w:rsidRPr="00E02ECA">
        <w:rPr>
          <w:rFonts w:ascii="Arial" w:hAnsi="Arial" w:cs="Arial"/>
          <w:color w:val="000000"/>
        </w:rPr>
        <w:br/>
        <w:t xml:space="preserve">zur Verhütung übertragbarer Krankheiten </w:t>
      </w:r>
      <w:r w:rsidR="00A57809" w:rsidRPr="00E02ECA">
        <w:rPr>
          <w:rFonts w:ascii="Arial" w:hAnsi="Arial" w:cs="Arial"/>
          <w:color w:val="000000"/>
        </w:rPr>
        <w:t>(</w:t>
      </w:r>
      <w:proofErr w:type="spellStart"/>
      <w:r w:rsidR="00A57809" w:rsidRPr="00E02ECA">
        <w:rPr>
          <w:rFonts w:ascii="Arial" w:hAnsi="Arial" w:cs="Arial"/>
          <w:color w:val="000000"/>
        </w:rPr>
        <w:t>HygieneVO</w:t>
      </w:r>
      <w:proofErr w:type="spellEnd"/>
      <w:r w:rsidR="00A57809" w:rsidRPr="00E02ECA">
        <w:rPr>
          <w:rFonts w:ascii="Arial" w:hAnsi="Arial" w:cs="Arial"/>
          <w:color w:val="000000"/>
        </w:rPr>
        <w:t>)</w:t>
      </w:r>
      <w:r w:rsidR="00D21937" w:rsidRPr="008D4122">
        <w:rPr>
          <w:rStyle w:val="Funotenzeichen"/>
          <w:rFonts w:ascii="Arial" w:hAnsi="Arial" w:cs="Arial"/>
          <w:color w:val="000000"/>
        </w:rPr>
        <w:footnoteReference w:id="1"/>
      </w:r>
      <w:r w:rsidRPr="00E02ECA">
        <w:rPr>
          <w:rFonts w:ascii="Arial" w:hAnsi="Arial" w:cs="Arial"/>
          <w:color w:val="000000"/>
        </w:rPr>
        <w:br/>
        <w:t xml:space="preserve">Vom </w:t>
      </w:r>
      <w:r w:rsidRPr="00E02ECA">
        <w:rPr>
          <w:rFonts w:ascii="Arial" w:hAnsi="Arial" w:cs="Arial"/>
          <w:color w:val="000000"/>
        </w:rPr>
        <w:br/>
        <w:t xml:space="preserve"> </w:t>
      </w:r>
      <w:r w:rsidRPr="00E02ECA">
        <w:rPr>
          <w:rFonts w:ascii="Arial" w:hAnsi="Arial" w:cs="Arial"/>
          <w:color w:val="000000"/>
        </w:rPr>
        <w:br/>
        <w:t xml:space="preserve"> </w:t>
      </w:r>
    </w:p>
    <w:p w:rsidR="000A4C53" w:rsidRPr="00E02ECA" w:rsidRDefault="000A4C53" w:rsidP="000A4C53">
      <w:pPr>
        <w:spacing w:before="100" w:beforeAutospacing="1" w:after="100" w:afterAutospacing="1"/>
        <w:rPr>
          <w:rFonts w:ascii="Arial" w:hAnsi="Arial" w:cs="Arial"/>
          <w:color w:val="000000"/>
        </w:rPr>
      </w:pPr>
      <w:r w:rsidRPr="00CD56BF">
        <w:rPr>
          <w:rFonts w:ascii="Arial" w:hAnsi="Arial" w:cs="Arial"/>
          <w:color w:val="000000"/>
        </w:rPr>
        <w:t xml:space="preserve">Aufgrund des </w:t>
      </w:r>
      <w:r w:rsidR="00E42B3B" w:rsidRPr="00CD56BF">
        <w:rPr>
          <w:rFonts w:ascii="Arial" w:hAnsi="Arial" w:cs="Arial"/>
          <w:color w:val="000000"/>
        </w:rPr>
        <w:t xml:space="preserve">§ </w:t>
      </w:r>
      <w:r w:rsidR="00780810" w:rsidRPr="00CD56BF">
        <w:rPr>
          <w:rFonts w:ascii="Arial" w:hAnsi="Arial" w:cs="Arial"/>
          <w:color w:val="000000"/>
        </w:rPr>
        <w:t>17</w:t>
      </w:r>
      <w:r w:rsidR="00E42B3B" w:rsidRPr="00CD56BF">
        <w:rPr>
          <w:rFonts w:ascii="Arial" w:hAnsi="Arial" w:cs="Arial"/>
          <w:color w:val="000000"/>
        </w:rPr>
        <w:t xml:space="preserve"> </w:t>
      </w:r>
      <w:r w:rsidR="009A57EA" w:rsidRPr="00CD56BF">
        <w:rPr>
          <w:rFonts w:ascii="Arial" w:hAnsi="Arial" w:cs="Arial"/>
          <w:color w:val="000000"/>
        </w:rPr>
        <w:t>Abs</w:t>
      </w:r>
      <w:r w:rsidR="0003115C" w:rsidRPr="00CD56BF">
        <w:rPr>
          <w:rFonts w:ascii="Arial" w:hAnsi="Arial" w:cs="Arial"/>
          <w:color w:val="000000"/>
        </w:rPr>
        <w:t>.</w:t>
      </w:r>
      <w:r w:rsidR="009A57EA" w:rsidRPr="00CD56BF">
        <w:rPr>
          <w:rFonts w:ascii="Arial" w:hAnsi="Arial" w:cs="Arial"/>
          <w:color w:val="000000"/>
        </w:rPr>
        <w:t xml:space="preserve"> 4 </w:t>
      </w:r>
      <w:r w:rsidR="00E42B3B" w:rsidRPr="00CD56BF">
        <w:rPr>
          <w:rFonts w:ascii="Arial" w:hAnsi="Arial" w:cs="Arial"/>
          <w:color w:val="000000"/>
        </w:rPr>
        <w:t>des Infektionsschutzgesetzes</w:t>
      </w:r>
      <w:r w:rsidR="00196BA0" w:rsidRPr="00CD56BF">
        <w:rPr>
          <w:rFonts w:ascii="Arial" w:hAnsi="Arial" w:cs="Arial"/>
          <w:color w:val="000000"/>
        </w:rPr>
        <w:t xml:space="preserve"> </w:t>
      </w:r>
      <w:r w:rsidR="0003115C" w:rsidRPr="00CD56BF">
        <w:rPr>
          <w:rFonts w:ascii="Arial" w:hAnsi="Arial" w:cs="Arial"/>
          <w:color w:val="000000"/>
        </w:rPr>
        <w:t>vom 20. Juli 2000 (BGBl. I S. 1045)</w:t>
      </w:r>
      <w:r w:rsidR="004A4853" w:rsidRPr="00CD56BF">
        <w:rPr>
          <w:rFonts w:ascii="Arial" w:hAnsi="Arial" w:cs="Arial"/>
          <w:color w:val="000000"/>
        </w:rPr>
        <w:t xml:space="preserve">, </w:t>
      </w:r>
      <w:r w:rsidRPr="00CD56BF">
        <w:rPr>
          <w:rFonts w:ascii="Arial" w:hAnsi="Arial" w:cs="Arial"/>
          <w:color w:val="000000"/>
        </w:rPr>
        <w:t xml:space="preserve">zuletzt geändert durch </w:t>
      </w:r>
      <w:r w:rsidR="00780810" w:rsidRPr="00CD56BF">
        <w:rPr>
          <w:rFonts w:ascii="Arial" w:hAnsi="Arial" w:cs="Arial"/>
          <w:color w:val="000000"/>
        </w:rPr>
        <w:t xml:space="preserve">Artikel </w:t>
      </w:r>
      <w:r w:rsidR="005A5CE9" w:rsidRPr="00CD56BF">
        <w:rPr>
          <w:rFonts w:ascii="Arial" w:hAnsi="Arial" w:cs="Arial"/>
          <w:color w:val="000000"/>
        </w:rPr>
        <w:t>18a</w:t>
      </w:r>
      <w:r w:rsidR="00780810" w:rsidRPr="00CD56BF">
        <w:rPr>
          <w:rFonts w:ascii="Arial" w:hAnsi="Arial" w:cs="Arial"/>
          <w:color w:val="000000"/>
        </w:rPr>
        <w:t xml:space="preserve"> der Verordnung vom </w:t>
      </w:r>
      <w:r w:rsidR="005A5CE9" w:rsidRPr="00CD56BF">
        <w:rPr>
          <w:rFonts w:ascii="Arial" w:hAnsi="Arial" w:cs="Arial"/>
          <w:color w:val="000000"/>
        </w:rPr>
        <w:t>9. August 2019</w:t>
      </w:r>
      <w:r w:rsidR="00780810" w:rsidRPr="00CD56BF">
        <w:rPr>
          <w:rFonts w:ascii="Arial" w:hAnsi="Arial" w:cs="Arial"/>
          <w:color w:val="000000"/>
        </w:rPr>
        <w:t xml:space="preserve"> (BGBl. I S. </w:t>
      </w:r>
      <w:r w:rsidR="005A5CE9" w:rsidRPr="00CD56BF">
        <w:rPr>
          <w:rFonts w:ascii="Arial" w:hAnsi="Arial" w:cs="Arial"/>
          <w:color w:val="000000"/>
        </w:rPr>
        <w:t>1202</w:t>
      </w:r>
      <w:r w:rsidR="00196BA0" w:rsidRPr="00CD56BF">
        <w:rPr>
          <w:rFonts w:ascii="Arial" w:hAnsi="Arial" w:cs="Arial"/>
          <w:color w:val="000000"/>
        </w:rPr>
        <w:t>)</w:t>
      </w:r>
      <w:r w:rsidR="004C7E66" w:rsidRPr="00CD56BF">
        <w:rPr>
          <w:rFonts w:ascii="Arial" w:hAnsi="Arial" w:cs="Arial"/>
          <w:color w:val="000000"/>
        </w:rPr>
        <w:t>,</w:t>
      </w:r>
      <w:r w:rsidRPr="00CD56BF">
        <w:rPr>
          <w:rFonts w:ascii="Arial" w:hAnsi="Arial" w:cs="Arial"/>
          <w:color w:val="000000"/>
        </w:rPr>
        <w:t xml:space="preserve"> </w:t>
      </w:r>
      <w:r w:rsidR="007F665B" w:rsidRPr="00CD56BF">
        <w:rPr>
          <w:rFonts w:ascii="Arial" w:hAnsi="Arial" w:cs="Arial"/>
          <w:color w:val="000000"/>
        </w:rPr>
        <w:t>i</w:t>
      </w:r>
      <w:r w:rsidR="00482008" w:rsidRPr="00CD56BF">
        <w:rPr>
          <w:rFonts w:ascii="Arial" w:hAnsi="Arial" w:cs="Arial"/>
          <w:color w:val="000000"/>
        </w:rPr>
        <w:t>n Verbindung mit § 1 Abs. 1 der Verordnung zur Übertragung von Ermächtigungen nach dem Infektionss</w:t>
      </w:r>
      <w:r w:rsidR="00CF6A79" w:rsidRPr="00CD56BF">
        <w:rPr>
          <w:rFonts w:ascii="Arial" w:hAnsi="Arial" w:cs="Arial"/>
          <w:color w:val="000000"/>
        </w:rPr>
        <w:t>chutzgesetz vom 22. Februar 2001</w:t>
      </w:r>
      <w:r w:rsidR="00482008" w:rsidRPr="00CD56BF">
        <w:rPr>
          <w:rFonts w:ascii="Arial" w:hAnsi="Arial" w:cs="Arial"/>
          <w:color w:val="000000"/>
        </w:rPr>
        <w:t xml:space="preserve"> (</w:t>
      </w:r>
      <w:proofErr w:type="spellStart"/>
      <w:r w:rsidR="00482008" w:rsidRPr="00CD56BF">
        <w:rPr>
          <w:rFonts w:ascii="Arial" w:hAnsi="Arial" w:cs="Arial"/>
          <w:color w:val="000000"/>
        </w:rPr>
        <w:t>GVOBl</w:t>
      </w:r>
      <w:proofErr w:type="spellEnd"/>
      <w:r w:rsidR="00482008" w:rsidRPr="00CD56BF">
        <w:rPr>
          <w:rFonts w:ascii="Arial" w:hAnsi="Arial" w:cs="Arial"/>
          <w:color w:val="000000"/>
        </w:rPr>
        <w:t xml:space="preserve"> </w:t>
      </w:r>
      <w:proofErr w:type="spellStart"/>
      <w:r w:rsidR="00482008" w:rsidRPr="00CD56BF">
        <w:rPr>
          <w:rFonts w:ascii="Arial" w:hAnsi="Arial" w:cs="Arial"/>
          <w:color w:val="000000"/>
        </w:rPr>
        <w:t>Schl</w:t>
      </w:r>
      <w:proofErr w:type="spellEnd"/>
      <w:r w:rsidR="00482008" w:rsidRPr="00CD56BF">
        <w:rPr>
          <w:rFonts w:ascii="Arial" w:hAnsi="Arial" w:cs="Arial"/>
          <w:color w:val="000000"/>
        </w:rPr>
        <w:t>.-H. S. 35)</w:t>
      </w:r>
      <w:r w:rsidR="00E50B8E" w:rsidRPr="00CD56BF">
        <w:rPr>
          <w:rFonts w:ascii="Arial" w:hAnsi="Arial" w:cs="Arial"/>
          <w:color w:val="000000"/>
        </w:rPr>
        <w:t xml:space="preserve">, </w:t>
      </w:r>
      <w:r w:rsidR="00CF6A79" w:rsidRPr="00CD56BF">
        <w:rPr>
          <w:rFonts w:ascii="Arial" w:hAnsi="Arial" w:cs="Arial"/>
          <w:color w:val="000000"/>
        </w:rPr>
        <w:t xml:space="preserve">Ressortbezeichnungen </w:t>
      </w:r>
      <w:r w:rsidR="00E50B8E" w:rsidRPr="00CD56BF">
        <w:rPr>
          <w:rFonts w:ascii="Arial" w:hAnsi="Arial" w:cs="Arial"/>
          <w:color w:val="000000"/>
        </w:rPr>
        <w:t xml:space="preserve">zuletzt </w:t>
      </w:r>
      <w:r w:rsidR="00CF6A79" w:rsidRPr="00CD56BF">
        <w:rPr>
          <w:rFonts w:ascii="Arial" w:hAnsi="Arial" w:cs="Arial"/>
          <w:color w:val="000000"/>
        </w:rPr>
        <w:t xml:space="preserve">ersetzt </w:t>
      </w:r>
      <w:r w:rsidR="00E50B8E" w:rsidRPr="00CD56BF">
        <w:rPr>
          <w:rFonts w:ascii="Arial" w:hAnsi="Arial" w:cs="Arial"/>
          <w:color w:val="000000"/>
        </w:rPr>
        <w:t>durch Art</w:t>
      </w:r>
      <w:r w:rsidR="00CF6A79" w:rsidRPr="00CD56BF">
        <w:rPr>
          <w:rFonts w:ascii="Arial" w:hAnsi="Arial" w:cs="Arial"/>
          <w:color w:val="000000"/>
        </w:rPr>
        <w:t>ikel</w:t>
      </w:r>
      <w:r w:rsidR="00E50B8E" w:rsidRPr="00CD56BF">
        <w:rPr>
          <w:rFonts w:ascii="Arial" w:hAnsi="Arial" w:cs="Arial"/>
          <w:color w:val="000000"/>
        </w:rPr>
        <w:t xml:space="preserve"> 21 </w:t>
      </w:r>
      <w:r w:rsidR="00CF6A79" w:rsidRPr="00CD56BF">
        <w:rPr>
          <w:rFonts w:ascii="Arial" w:hAnsi="Arial" w:cs="Arial"/>
          <w:color w:val="000000"/>
        </w:rPr>
        <w:t>der Verordnung</w:t>
      </w:r>
      <w:r w:rsidR="00E50B8E" w:rsidRPr="00CD56BF">
        <w:rPr>
          <w:rFonts w:ascii="Arial" w:hAnsi="Arial" w:cs="Arial"/>
          <w:color w:val="000000"/>
        </w:rPr>
        <w:t xml:space="preserve"> vom 16. Januar 2019 (GVOBl. Schl.-H. S. 30)</w:t>
      </w:r>
      <w:r w:rsidR="00482008" w:rsidRPr="00CD56BF">
        <w:rPr>
          <w:rFonts w:ascii="Arial" w:hAnsi="Arial" w:cs="Arial"/>
          <w:color w:val="000000"/>
        </w:rPr>
        <w:t xml:space="preserve"> </w:t>
      </w:r>
      <w:r w:rsidRPr="00CD56BF">
        <w:rPr>
          <w:rFonts w:ascii="Arial" w:hAnsi="Arial" w:cs="Arial"/>
          <w:color w:val="000000"/>
        </w:rPr>
        <w:t xml:space="preserve">verordnet </w:t>
      </w:r>
      <w:r w:rsidR="00FC296C" w:rsidRPr="00CD56BF">
        <w:rPr>
          <w:rFonts w:ascii="Arial" w:hAnsi="Arial" w:cs="Arial"/>
          <w:color w:val="000000"/>
        </w:rPr>
        <w:t>das Ministerium für</w:t>
      </w:r>
      <w:r w:rsidR="00780810" w:rsidRPr="00CD56BF">
        <w:rPr>
          <w:rFonts w:ascii="Arial" w:hAnsi="Arial" w:cs="Arial"/>
          <w:color w:val="000000"/>
        </w:rPr>
        <w:t xml:space="preserve"> Soziales, Gesundheit, Jugend, </w:t>
      </w:r>
      <w:r w:rsidR="00FC296C" w:rsidRPr="00CD56BF">
        <w:rPr>
          <w:rFonts w:ascii="Arial" w:hAnsi="Arial" w:cs="Arial"/>
          <w:color w:val="000000"/>
        </w:rPr>
        <w:t>Familie und Senioren</w:t>
      </w:r>
      <w:r w:rsidR="004C7E66" w:rsidRPr="00CD56BF">
        <w:rPr>
          <w:rFonts w:ascii="Arial" w:hAnsi="Arial" w:cs="Arial"/>
          <w:color w:val="000000"/>
        </w:rPr>
        <w:t>:</w:t>
      </w:r>
      <w:r w:rsidRPr="00E02ECA">
        <w:rPr>
          <w:rFonts w:ascii="Arial" w:hAnsi="Arial" w:cs="Arial"/>
          <w:color w:val="000000"/>
        </w:rPr>
        <w:t xml:space="preserve"> </w:t>
      </w:r>
    </w:p>
    <w:p w:rsidR="00CD56BF" w:rsidRDefault="00CD56BF" w:rsidP="000A4C53">
      <w:pPr>
        <w:spacing w:before="100" w:beforeAutospacing="1" w:after="100" w:afterAutospacing="1"/>
        <w:jc w:val="center"/>
        <w:rPr>
          <w:rFonts w:ascii="Arial" w:hAnsi="Arial" w:cs="Arial"/>
          <w:color w:val="000000"/>
        </w:rPr>
      </w:pPr>
    </w:p>
    <w:p w:rsidR="00CD56BF" w:rsidRPr="00CD56BF" w:rsidRDefault="000A4C53" w:rsidP="00CD56BF">
      <w:pPr>
        <w:tabs>
          <w:tab w:val="left" w:pos="567"/>
        </w:tabs>
        <w:spacing w:before="100" w:beforeAutospacing="1" w:after="100" w:afterAutospacing="1"/>
        <w:rPr>
          <w:rFonts w:ascii="Arial" w:hAnsi="Arial" w:cs="Arial"/>
          <w:color w:val="000000"/>
        </w:rPr>
      </w:pPr>
      <w:r w:rsidRPr="00E02ECA">
        <w:rPr>
          <w:rFonts w:ascii="Arial" w:hAnsi="Arial" w:cs="Arial"/>
          <w:color w:val="000000"/>
        </w:rPr>
        <w:t> </w:t>
      </w:r>
      <w:r w:rsidR="00CD56BF">
        <w:rPr>
          <w:rFonts w:ascii="Arial" w:hAnsi="Arial" w:cs="Arial"/>
          <w:color w:val="000000"/>
        </w:rPr>
        <w:t>1.</w:t>
      </w:r>
      <w:r w:rsidR="00CD56BF">
        <w:rPr>
          <w:rFonts w:ascii="Arial" w:hAnsi="Arial" w:cs="Arial"/>
          <w:color w:val="000000"/>
        </w:rPr>
        <w:tab/>
        <w:t>§ 3</w:t>
      </w:r>
      <w:r w:rsidR="00CD56BF" w:rsidRPr="00CD56BF">
        <w:rPr>
          <w:rFonts w:ascii="Arial" w:hAnsi="Arial" w:cs="Arial"/>
          <w:color w:val="000000"/>
        </w:rPr>
        <w:t xml:space="preserve"> </w:t>
      </w:r>
      <w:r w:rsidR="0016494F" w:rsidRPr="00CD56BF">
        <w:rPr>
          <w:rFonts w:ascii="Arial" w:hAnsi="Arial" w:cs="Arial"/>
          <w:color w:val="000000"/>
        </w:rPr>
        <w:t xml:space="preserve">Absatz </w:t>
      </w:r>
      <w:r w:rsidR="0016494F">
        <w:rPr>
          <w:rFonts w:ascii="Arial" w:hAnsi="Arial" w:cs="Arial"/>
          <w:color w:val="000000"/>
        </w:rPr>
        <w:t>1</w:t>
      </w:r>
      <w:r w:rsidR="0016494F" w:rsidRPr="00CD56BF">
        <w:rPr>
          <w:rFonts w:ascii="Arial" w:hAnsi="Arial" w:cs="Arial"/>
          <w:color w:val="000000"/>
        </w:rPr>
        <w:t xml:space="preserve"> erhält folgende Fassung</w:t>
      </w:r>
      <w:r w:rsidR="00CD56BF" w:rsidRPr="00CD56BF">
        <w:rPr>
          <w:rFonts w:ascii="Arial" w:hAnsi="Arial" w:cs="Arial"/>
          <w:color w:val="000000"/>
        </w:rPr>
        <w:t xml:space="preserve">: </w:t>
      </w:r>
    </w:p>
    <w:p w:rsidR="000A4C53" w:rsidRDefault="0016494F" w:rsidP="00502122">
      <w:pPr>
        <w:spacing w:before="100" w:beforeAutospacing="1" w:after="100" w:afterAutospacing="1"/>
        <w:ind w:left="567"/>
        <w:rPr>
          <w:rFonts w:ascii="Arial" w:hAnsi="Arial" w:cs="Arial"/>
          <w:color w:val="000000"/>
        </w:rPr>
      </w:pPr>
      <w:r w:rsidRPr="00502122">
        <w:rPr>
          <w:rFonts w:ascii="Arial" w:hAnsi="Arial" w:cs="Arial"/>
          <w:color w:val="000000"/>
        </w:rPr>
        <w:t xml:space="preserve"> </w:t>
      </w:r>
      <w:r w:rsidR="00CD56BF" w:rsidRPr="00502122">
        <w:rPr>
          <w:rFonts w:ascii="Arial" w:hAnsi="Arial" w:cs="Arial"/>
          <w:color w:val="000000"/>
        </w:rPr>
        <w:t xml:space="preserve">„(1) Das Inventar in allen für die Diagnostik und Therapie bestimmten Räumen, in denen mit einer Kontamination von Körperflüssigkeiten und sonstigen erregerhaltigen Materialien zu rechnen ist, muss feucht zu reinigen und </w:t>
      </w:r>
      <w:proofErr w:type="spellStart"/>
      <w:r w:rsidR="00CD56BF" w:rsidRPr="00502122">
        <w:rPr>
          <w:rFonts w:ascii="Arial" w:hAnsi="Arial" w:cs="Arial"/>
          <w:color w:val="000000"/>
        </w:rPr>
        <w:t>desinfizierbar</w:t>
      </w:r>
      <w:proofErr w:type="spellEnd"/>
      <w:r w:rsidR="00CD56BF" w:rsidRPr="00502122">
        <w:rPr>
          <w:rFonts w:ascii="Arial" w:hAnsi="Arial" w:cs="Arial"/>
          <w:color w:val="000000"/>
        </w:rPr>
        <w:t xml:space="preserve"> sein. </w:t>
      </w:r>
      <w:r w:rsidR="00502122" w:rsidRPr="00502122">
        <w:rPr>
          <w:rFonts w:ascii="Arial" w:hAnsi="Arial" w:cs="Arial"/>
          <w:color w:val="000000"/>
        </w:rPr>
        <w:t xml:space="preserve">Alle Desinfektionsmittel, die zur Anwendung kommen, müssen zur Infektionsprävention in medizinischen Einrichtungen geeignet und nachgewiesenermaßen wirksam sein. Die Wirksamkeit für den jeweils erforderlichen Wirkbereich </w:t>
      </w:r>
      <w:proofErr w:type="spellStart"/>
      <w:r w:rsidR="00502122" w:rsidRPr="00502122">
        <w:rPr>
          <w:rFonts w:ascii="Arial" w:hAnsi="Arial" w:cs="Arial"/>
          <w:color w:val="000000"/>
        </w:rPr>
        <w:t>muss</w:t>
      </w:r>
      <w:proofErr w:type="spellEnd"/>
      <w:r w:rsidR="00502122" w:rsidRPr="00502122">
        <w:rPr>
          <w:rFonts w:ascii="Arial" w:hAnsi="Arial" w:cs="Arial"/>
          <w:color w:val="000000"/>
        </w:rPr>
        <w:t xml:space="preserve"> mindestens bakterizid, </w:t>
      </w:r>
      <w:proofErr w:type="spellStart"/>
      <w:r w:rsidR="00502122" w:rsidRPr="00502122">
        <w:rPr>
          <w:rFonts w:ascii="Arial" w:hAnsi="Arial" w:cs="Arial"/>
          <w:color w:val="000000"/>
        </w:rPr>
        <w:t>levurozid</w:t>
      </w:r>
      <w:proofErr w:type="spellEnd"/>
      <w:r w:rsidR="00502122" w:rsidRPr="00502122">
        <w:rPr>
          <w:rFonts w:ascii="Arial" w:hAnsi="Arial" w:cs="Arial"/>
          <w:color w:val="000000"/>
        </w:rPr>
        <w:t xml:space="preserve"> und begrenzt </w:t>
      </w:r>
      <w:proofErr w:type="spellStart"/>
      <w:r w:rsidR="00502122" w:rsidRPr="00502122">
        <w:rPr>
          <w:rFonts w:ascii="Arial" w:hAnsi="Arial" w:cs="Arial"/>
          <w:color w:val="000000"/>
        </w:rPr>
        <w:t>viruzid</w:t>
      </w:r>
      <w:proofErr w:type="spellEnd"/>
      <w:r w:rsidR="00502122" w:rsidRPr="00502122">
        <w:rPr>
          <w:rFonts w:ascii="Arial" w:hAnsi="Arial" w:cs="Arial"/>
          <w:color w:val="000000"/>
        </w:rPr>
        <w:t xml:space="preserve">, ggf. zusätzlich fungizid, </w:t>
      </w:r>
      <w:proofErr w:type="spellStart"/>
      <w:r w:rsidR="00502122" w:rsidRPr="00502122">
        <w:rPr>
          <w:rFonts w:ascii="Arial" w:hAnsi="Arial" w:cs="Arial"/>
          <w:color w:val="000000"/>
        </w:rPr>
        <w:t>tuberkulozid</w:t>
      </w:r>
      <w:proofErr w:type="spellEnd"/>
      <w:r w:rsidR="00502122" w:rsidRPr="00502122">
        <w:rPr>
          <w:rFonts w:ascii="Arial" w:hAnsi="Arial" w:cs="Arial"/>
          <w:color w:val="000000"/>
        </w:rPr>
        <w:t xml:space="preserve">, </w:t>
      </w:r>
      <w:proofErr w:type="spellStart"/>
      <w:r w:rsidR="00502122" w:rsidRPr="00502122">
        <w:rPr>
          <w:rFonts w:ascii="Arial" w:hAnsi="Arial" w:cs="Arial"/>
          <w:color w:val="000000"/>
        </w:rPr>
        <w:t>mykobakterizid</w:t>
      </w:r>
      <w:proofErr w:type="spellEnd"/>
      <w:r w:rsidR="00502122" w:rsidRPr="00502122">
        <w:rPr>
          <w:rFonts w:ascii="Arial" w:hAnsi="Arial" w:cs="Arial"/>
          <w:color w:val="000000"/>
        </w:rPr>
        <w:t xml:space="preserve"> und wirksam gegen bakterielle Sporen, sein. Sie muss durch mindestens zwei voneinander unabhängige Gutachten mit den zugehörigen Prüfberichten nachgewiesen sein. Die Wirksamkeit gilt als bestätigt, wenn die Prüfungen durch vom Hersteller unabhängige Prüflabore durchgeführt wurden und die Prüfberichte von unabhängigen Experten in einer wissenschaftlich begründeten Bewertung bestätigt werden. Die Prüflabore müssen über die notwendige Kompetenz verfügen, die z. B. durch Akkreditierung nach DIN ISO EN 17025:2018-03 vom März 2018 nachgewiesen werden kann. Die jeweilige Prüfmethode muss z.B. durch Ringversuche validiert sein, um die statistische Variabilität berücksichtigen zu können, die eine Anzahl von mindestens zwei erforderlichen Testwiederholungen beinhaltet. Prüfungen, die nach technischen Spezifikationen eines anderen Mitgliedstaats der Europäischen Union oder der Türkei oder eines anderen Vertragsstaats des Abkommens über den Europäischen Wirtschaftsraum vorgenommen worden sind, werden als gleichwertig anerkannt, wenn die technischen Spezifikationen das nach Satz 2 geforderte Schutzniveau gleichermaßen dauerhaft erreichen.“</w:t>
      </w:r>
    </w:p>
    <w:p w:rsidR="00CD56BF" w:rsidRDefault="00CD56BF" w:rsidP="009B287C">
      <w:pPr>
        <w:tabs>
          <w:tab w:val="left" w:pos="567"/>
        </w:tabs>
        <w:spacing w:before="100" w:beforeAutospacing="1" w:after="100" w:afterAutospacing="1"/>
        <w:rPr>
          <w:rFonts w:ascii="Arial" w:hAnsi="Arial" w:cs="Arial"/>
          <w:color w:val="000000"/>
        </w:rPr>
      </w:pPr>
      <w:r>
        <w:rPr>
          <w:rFonts w:ascii="Arial" w:hAnsi="Arial" w:cs="Arial"/>
          <w:color w:val="000000"/>
        </w:rPr>
        <w:t>2.</w:t>
      </w:r>
      <w:r>
        <w:rPr>
          <w:rFonts w:ascii="Arial" w:hAnsi="Arial" w:cs="Arial"/>
          <w:color w:val="000000"/>
        </w:rPr>
        <w:tab/>
        <w:t xml:space="preserve">§ 5 wird wie folgt </w:t>
      </w:r>
      <w:r w:rsidR="009B287C">
        <w:rPr>
          <w:rFonts w:ascii="Arial" w:hAnsi="Arial" w:cs="Arial"/>
          <w:color w:val="000000"/>
        </w:rPr>
        <w:t>gefasst</w:t>
      </w:r>
      <w:r>
        <w:rPr>
          <w:rFonts w:ascii="Arial" w:hAnsi="Arial" w:cs="Arial"/>
          <w:color w:val="000000"/>
        </w:rPr>
        <w:t>:</w:t>
      </w:r>
    </w:p>
    <w:p w:rsidR="000A4C53" w:rsidRPr="00E02ECA" w:rsidRDefault="009B287C" w:rsidP="000A4C53">
      <w:pPr>
        <w:spacing w:before="100" w:beforeAutospacing="1" w:after="100" w:afterAutospacing="1"/>
        <w:jc w:val="center"/>
        <w:rPr>
          <w:rFonts w:ascii="Arial" w:hAnsi="Arial" w:cs="Arial"/>
          <w:color w:val="000000"/>
        </w:rPr>
      </w:pPr>
      <w:bookmarkStart w:id="1" w:name="6"/>
      <w:r>
        <w:rPr>
          <w:rFonts w:ascii="Arial" w:hAnsi="Arial" w:cs="Arial"/>
          <w:color w:val="000000"/>
        </w:rPr>
        <w:t>„</w:t>
      </w:r>
      <w:r w:rsidR="000A4C53" w:rsidRPr="00E02ECA">
        <w:rPr>
          <w:rFonts w:ascii="Arial" w:hAnsi="Arial" w:cs="Arial"/>
          <w:color w:val="000000"/>
        </w:rPr>
        <w:t> </w:t>
      </w:r>
      <w:bookmarkStart w:id="2" w:name="7"/>
      <w:bookmarkEnd w:id="1"/>
      <w:r w:rsidR="000A4C53" w:rsidRPr="00E02ECA">
        <w:rPr>
          <w:rFonts w:ascii="Arial" w:hAnsi="Arial" w:cs="Arial"/>
          <w:color w:val="000000"/>
        </w:rPr>
        <w:t xml:space="preserve">§ </w:t>
      </w:r>
      <w:r w:rsidR="0065292B" w:rsidRPr="00E02ECA">
        <w:rPr>
          <w:rFonts w:ascii="Arial" w:hAnsi="Arial" w:cs="Arial"/>
          <w:color w:val="000000"/>
        </w:rPr>
        <w:t>5</w:t>
      </w:r>
      <w:r w:rsidR="000A4C53" w:rsidRPr="00E02ECA">
        <w:rPr>
          <w:rFonts w:ascii="Arial" w:hAnsi="Arial" w:cs="Arial"/>
          <w:color w:val="000000"/>
        </w:rPr>
        <w:t xml:space="preserve"> </w:t>
      </w:r>
      <w:r w:rsidR="000A4C53" w:rsidRPr="00E02ECA">
        <w:rPr>
          <w:rFonts w:ascii="Arial" w:hAnsi="Arial" w:cs="Arial"/>
          <w:color w:val="000000"/>
        </w:rPr>
        <w:br/>
        <w:t xml:space="preserve">Ordnungswidrigkeiten </w:t>
      </w:r>
    </w:p>
    <w:p w:rsidR="000A4C53" w:rsidRPr="009B287C" w:rsidRDefault="00320C14" w:rsidP="000A4C53">
      <w:pPr>
        <w:spacing w:before="100" w:beforeAutospacing="1" w:after="100" w:afterAutospacing="1"/>
        <w:rPr>
          <w:rFonts w:ascii="Arial" w:hAnsi="Arial" w:cs="Arial"/>
          <w:color w:val="000000"/>
        </w:rPr>
      </w:pPr>
      <w:r w:rsidRPr="00E02ECA">
        <w:rPr>
          <w:rFonts w:ascii="Arial" w:hAnsi="Arial" w:cs="Arial"/>
          <w:color w:val="000000"/>
        </w:rPr>
        <w:lastRenderedPageBreak/>
        <w:t xml:space="preserve">(1) </w:t>
      </w:r>
      <w:r w:rsidR="000A4C53" w:rsidRPr="00E02ECA">
        <w:rPr>
          <w:rFonts w:ascii="Arial" w:hAnsi="Arial" w:cs="Arial"/>
          <w:color w:val="000000"/>
        </w:rPr>
        <w:t xml:space="preserve">Ordnungswidrig im Sinne </w:t>
      </w:r>
      <w:r w:rsidR="007C0D13" w:rsidRPr="00E02ECA">
        <w:rPr>
          <w:rFonts w:ascii="Arial" w:hAnsi="Arial" w:cs="Arial"/>
          <w:color w:val="000000"/>
        </w:rPr>
        <w:t xml:space="preserve">des </w:t>
      </w:r>
      <w:r w:rsidR="000A4C53" w:rsidRPr="00E02ECA">
        <w:rPr>
          <w:rFonts w:ascii="Arial" w:hAnsi="Arial" w:cs="Arial"/>
          <w:color w:val="000000"/>
        </w:rPr>
        <w:t>§ 73</w:t>
      </w:r>
      <w:r w:rsidRPr="00E02ECA">
        <w:rPr>
          <w:rFonts w:ascii="Arial" w:hAnsi="Arial" w:cs="Arial"/>
          <w:color w:val="000000"/>
        </w:rPr>
        <w:t xml:space="preserve"> </w:t>
      </w:r>
      <w:r w:rsidR="000A4C53" w:rsidRPr="00E02ECA">
        <w:rPr>
          <w:rFonts w:ascii="Arial" w:hAnsi="Arial" w:cs="Arial"/>
          <w:color w:val="000000"/>
        </w:rPr>
        <w:t>Abs</w:t>
      </w:r>
      <w:r w:rsidR="009B287C">
        <w:rPr>
          <w:rFonts w:ascii="Arial" w:hAnsi="Arial" w:cs="Arial"/>
          <w:color w:val="000000"/>
        </w:rPr>
        <w:t>atz</w:t>
      </w:r>
      <w:r w:rsidR="000A4C53" w:rsidRPr="00E02ECA">
        <w:rPr>
          <w:rFonts w:ascii="Arial" w:hAnsi="Arial" w:cs="Arial"/>
          <w:color w:val="000000"/>
        </w:rPr>
        <w:t xml:space="preserve"> </w:t>
      </w:r>
      <w:r w:rsidR="000A4C53" w:rsidRPr="009B287C">
        <w:rPr>
          <w:rFonts w:ascii="Arial" w:hAnsi="Arial" w:cs="Arial"/>
          <w:color w:val="000000"/>
        </w:rPr>
        <w:t>1</w:t>
      </w:r>
      <w:r w:rsidR="002909C0" w:rsidRPr="009B287C">
        <w:rPr>
          <w:rFonts w:ascii="Arial" w:hAnsi="Arial" w:cs="Arial"/>
          <w:color w:val="000000"/>
        </w:rPr>
        <w:t>a</w:t>
      </w:r>
      <w:r w:rsidR="000A4C53" w:rsidRPr="009B287C">
        <w:rPr>
          <w:rFonts w:ascii="Arial" w:hAnsi="Arial" w:cs="Arial"/>
          <w:color w:val="000000"/>
        </w:rPr>
        <w:t xml:space="preserve"> </w:t>
      </w:r>
      <w:r w:rsidR="005D6E9B" w:rsidRPr="009B287C">
        <w:rPr>
          <w:rFonts w:ascii="Arial" w:hAnsi="Arial" w:cs="Arial"/>
          <w:color w:val="000000"/>
        </w:rPr>
        <w:t>Nr. 6</w:t>
      </w:r>
      <w:r w:rsidR="00296907" w:rsidRPr="009B287C">
        <w:rPr>
          <w:rFonts w:ascii="Arial" w:hAnsi="Arial" w:cs="Arial"/>
          <w:color w:val="000000"/>
        </w:rPr>
        <w:t xml:space="preserve"> </w:t>
      </w:r>
      <w:r w:rsidR="00EC67D8" w:rsidRPr="009B287C">
        <w:rPr>
          <w:rFonts w:ascii="Arial" w:hAnsi="Arial" w:cs="Arial"/>
          <w:color w:val="000000"/>
        </w:rPr>
        <w:t>I</w:t>
      </w:r>
      <w:r w:rsidR="009B287C">
        <w:rPr>
          <w:rFonts w:ascii="Arial" w:hAnsi="Arial" w:cs="Arial"/>
          <w:color w:val="000000"/>
        </w:rPr>
        <w:t xml:space="preserve">nfektionsschutzgesetz </w:t>
      </w:r>
      <w:r w:rsidR="000A4C53" w:rsidRPr="009B287C">
        <w:rPr>
          <w:rFonts w:ascii="Arial" w:hAnsi="Arial" w:cs="Arial"/>
          <w:color w:val="000000"/>
        </w:rPr>
        <w:t>handelt, wer vorsätzlich oder fahrlässig</w:t>
      </w:r>
      <w:r w:rsidR="005769B1" w:rsidRPr="009B287C">
        <w:rPr>
          <w:rFonts w:ascii="Arial" w:hAnsi="Arial" w:cs="Arial"/>
          <w:color w:val="000000"/>
        </w:rPr>
        <w:t xml:space="preserve"> </w:t>
      </w:r>
    </w:p>
    <w:p w:rsidR="000A4C53" w:rsidRPr="009B287C" w:rsidRDefault="000A4C53" w:rsidP="000A4C53">
      <w:pPr>
        <w:numPr>
          <w:ilvl w:val="0"/>
          <w:numId w:val="4"/>
        </w:numPr>
        <w:spacing w:before="100" w:beforeAutospacing="1" w:after="100" w:afterAutospacing="1"/>
        <w:rPr>
          <w:rFonts w:ascii="Arial" w:hAnsi="Arial" w:cs="Arial"/>
          <w:color w:val="000000"/>
        </w:rPr>
      </w:pPr>
      <w:r w:rsidRPr="009B287C">
        <w:rPr>
          <w:rFonts w:ascii="Arial" w:hAnsi="Arial" w:cs="Arial"/>
          <w:color w:val="000000"/>
        </w:rPr>
        <w:t xml:space="preserve">entgegen § </w:t>
      </w:r>
      <w:r w:rsidR="00D86EEA" w:rsidRPr="009B287C">
        <w:rPr>
          <w:rFonts w:ascii="Arial" w:hAnsi="Arial" w:cs="Arial"/>
          <w:color w:val="000000"/>
        </w:rPr>
        <w:t xml:space="preserve">3 die Reinigung, </w:t>
      </w:r>
      <w:r w:rsidRPr="009B287C">
        <w:rPr>
          <w:rFonts w:ascii="Arial" w:hAnsi="Arial" w:cs="Arial"/>
          <w:color w:val="000000"/>
        </w:rPr>
        <w:t>Desinfektion</w:t>
      </w:r>
      <w:r w:rsidR="00D86EEA" w:rsidRPr="009B287C">
        <w:rPr>
          <w:rFonts w:ascii="Arial" w:hAnsi="Arial" w:cs="Arial"/>
          <w:color w:val="000000"/>
        </w:rPr>
        <w:t xml:space="preserve"> oder Sterilisation </w:t>
      </w:r>
      <w:r w:rsidRPr="009B287C">
        <w:rPr>
          <w:rFonts w:ascii="Arial" w:hAnsi="Arial" w:cs="Arial"/>
          <w:color w:val="000000"/>
        </w:rPr>
        <w:t xml:space="preserve">nicht </w:t>
      </w:r>
      <w:r w:rsidR="00D86EEA" w:rsidRPr="009B287C">
        <w:rPr>
          <w:rFonts w:ascii="Arial" w:hAnsi="Arial" w:cs="Arial"/>
          <w:color w:val="000000"/>
        </w:rPr>
        <w:t xml:space="preserve">oder nicht ausreichend mit einem geeigneten Verfahren </w:t>
      </w:r>
      <w:r w:rsidRPr="009B287C">
        <w:rPr>
          <w:rFonts w:ascii="Arial" w:hAnsi="Arial" w:cs="Arial"/>
          <w:color w:val="000000"/>
        </w:rPr>
        <w:t>durchführt</w:t>
      </w:r>
      <w:r w:rsidR="00D86EEA" w:rsidRPr="009B287C">
        <w:rPr>
          <w:rFonts w:ascii="Arial" w:hAnsi="Arial" w:cs="Arial"/>
          <w:color w:val="000000"/>
        </w:rPr>
        <w:t xml:space="preserve"> oder die Geräte nicht vor Verunreinigungen geschützt aufbewahrt</w:t>
      </w:r>
      <w:r w:rsidRPr="009B287C">
        <w:rPr>
          <w:rFonts w:ascii="Arial" w:hAnsi="Arial" w:cs="Arial"/>
          <w:color w:val="000000"/>
        </w:rPr>
        <w:t xml:space="preserve">, </w:t>
      </w:r>
    </w:p>
    <w:p w:rsidR="000A4C53" w:rsidRPr="009B287C" w:rsidRDefault="000A4C53" w:rsidP="000A4C53">
      <w:pPr>
        <w:numPr>
          <w:ilvl w:val="0"/>
          <w:numId w:val="4"/>
        </w:numPr>
        <w:spacing w:before="100" w:beforeAutospacing="1" w:after="100" w:afterAutospacing="1"/>
        <w:rPr>
          <w:rFonts w:ascii="Arial" w:hAnsi="Arial" w:cs="Arial"/>
          <w:color w:val="000000"/>
        </w:rPr>
      </w:pPr>
      <w:r w:rsidRPr="009B287C">
        <w:rPr>
          <w:rFonts w:ascii="Arial" w:hAnsi="Arial" w:cs="Arial"/>
          <w:color w:val="000000"/>
        </w:rPr>
        <w:t xml:space="preserve">andere als die in § 3 genannten Desinfektionsmittel und -verfahren anwendet, </w:t>
      </w:r>
    </w:p>
    <w:p w:rsidR="000A4C53" w:rsidRPr="009B287C" w:rsidRDefault="000A4C53" w:rsidP="000A4C53">
      <w:pPr>
        <w:numPr>
          <w:ilvl w:val="0"/>
          <w:numId w:val="4"/>
        </w:numPr>
        <w:spacing w:before="100" w:beforeAutospacing="1" w:after="100" w:afterAutospacing="1"/>
        <w:rPr>
          <w:rFonts w:ascii="Arial" w:hAnsi="Arial" w:cs="Arial"/>
          <w:color w:val="000000"/>
        </w:rPr>
      </w:pPr>
      <w:r w:rsidRPr="009B287C">
        <w:rPr>
          <w:rFonts w:ascii="Arial" w:hAnsi="Arial" w:cs="Arial"/>
          <w:color w:val="000000"/>
        </w:rPr>
        <w:t xml:space="preserve">entgegen § 4 die dort genannten Geräte und anderen Gegenstände nicht in geeigneten Behältern </w:t>
      </w:r>
      <w:r w:rsidR="0065292B" w:rsidRPr="009B287C">
        <w:rPr>
          <w:rFonts w:ascii="Arial" w:hAnsi="Arial" w:cs="Arial"/>
          <w:color w:val="000000"/>
        </w:rPr>
        <w:t>entsorgt</w:t>
      </w:r>
      <w:r w:rsidRPr="009B287C">
        <w:rPr>
          <w:rFonts w:ascii="Arial" w:hAnsi="Arial" w:cs="Arial"/>
          <w:color w:val="000000"/>
        </w:rPr>
        <w:t xml:space="preserve">, </w:t>
      </w:r>
    </w:p>
    <w:p w:rsidR="000A4C53" w:rsidRPr="00E02ECA" w:rsidRDefault="000A4C53" w:rsidP="000A4C53">
      <w:pPr>
        <w:numPr>
          <w:ilvl w:val="0"/>
          <w:numId w:val="4"/>
        </w:numPr>
        <w:spacing w:before="100" w:beforeAutospacing="1" w:after="100" w:afterAutospacing="1"/>
        <w:rPr>
          <w:rFonts w:ascii="Arial" w:hAnsi="Arial" w:cs="Arial"/>
          <w:color w:val="000000"/>
        </w:rPr>
      </w:pPr>
      <w:r w:rsidRPr="009B287C">
        <w:rPr>
          <w:rFonts w:ascii="Arial" w:hAnsi="Arial" w:cs="Arial"/>
          <w:color w:val="000000"/>
        </w:rPr>
        <w:t xml:space="preserve">einer Duldungs-, oder Auskunftspflicht nach § </w:t>
      </w:r>
      <w:r w:rsidR="003F3101" w:rsidRPr="009B287C">
        <w:rPr>
          <w:rFonts w:ascii="Arial" w:hAnsi="Arial" w:cs="Arial"/>
          <w:color w:val="000000"/>
        </w:rPr>
        <w:t>73</w:t>
      </w:r>
      <w:r w:rsidR="00070B35" w:rsidRPr="009B287C">
        <w:rPr>
          <w:rFonts w:ascii="Arial" w:hAnsi="Arial" w:cs="Arial"/>
          <w:color w:val="000000"/>
        </w:rPr>
        <w:t xml:space="preserve"> </w:t>
      </w:r>
      <w:r w:rsidRPr="009B287C">
        <w:rPr>
          <w:rFonts w:ascii="Arial" w:hAnsi="Arial" w:cs="Arial"/>
          <w:color w:val="000000"/>
        </w:rPr>
        <w:t>Abs</w:t>
      </w:r>
      <w:r w:rsidR="009B287C" w:rsidRPr="009B287C">
        <w:rPr>
          <w:rFonts w:ascii="Arial" w:hAnsi="Arial" w:cs="Arial"/>
          <w:color w:val="000000"/>
        </w:rPr>
        <w:t>atz</w:t>
      </w:r>
      <w:r w:rsidRPr="009B287C">
        <w:rPr>
          <w:rFonts w:ascii="Arial" w:hAnsi="Arial" w:cs="Arial"/>
          <w:color w:val="000000"/>
        </w:rPr>
        <w:t xml:space="preserve"> </w:t>
      </w:r>
      <w:r w:rsidR="003F3101" w:rsidRPr="009B287C">
        <w:rPr>
          <w:rFonts w:ascii="Arial" w:hAnsi="Arial" w:cs="Arial"/>
          <w:color w:val="000000"/>
        </w:rPr>
        <w:t>1</w:t>
      </w:r>
      <w:r w:rsidR="002909C0" w:rsidRPr="009B287C">
        <w:rPr>
          <w:rFonts w:ascii="Arial" w:hAnsi="Arial" w:cs="Arial"/>
          <w:color w:val="000000"/>
        </w:rPr>
        <w:t>a</w:t>
      </w:r>
      <w:r w:rsidR="003F3101" w:rsidRPr="009B287C">
        <w:rPr>
          <w:rFonts w:ascii="Arial" w:hAnsi="Arial" w:cs="Arial"/>
          <w:color w:val="000000"/>
        </w:rPr>
        <w:t xml:space="preserve"> Nr. 3 </w:t>
      </w:r>
      <w:r w:rsidR="009A59EA" w:rsidRPr="009B287C">
        <w:rPr>
          <w:rFonts w:ascii="Arial" w:hAnsi="Arial" w:cs="Arial"/>
          <w:color w:val="000000"/>
        </w:rPr>
        <w:t>und 4 I</w:t>
      </w:r>
      <w:r w:rsidR="009B287C">
        <w:rPr>
          <w:rFonts w:ascii="Arial" w:hAnsi="Arial" w:cs="Arial"/>
          <w:color w:val="000000"/>
        </w:rPr>
        <w:t>nfektionsschutzgesetz</w:t>
      </w:r>
      <w:r w:rsidR="009A59EA" w:rsidRPr="009B287C">
        <w:rPr>
          <w:rFonts w:ascii="Arial" w:hAnsi="Arial" w:cs="Arial"/>
          <w:color w:val="000000"/>
        </w:rPr>
        <w:t xml:space="preserve"> oder der Pflicht zur Vorlage von Unterlagen, insbesondere von Hygieneplänen, nach § 73 </w:t>
      </w:r>
      <w:r w:rsidR="002909C0" w:rsidRPr="009B287C">
        <w:rPr>
          <w:rFonts w:ascii="Arial" w:hAnsi="Arial" w:cs="Arial"/>
          <w:color w:val="000000"/>
        </w:rPr>
        <w:t xml:space="preserve">Absatz 1a </w:t>
      </w:r>
      <w:r w:rsidR="00C90822" w:rsidRPr="009B287C">
        <w:rPr>
          <w:rFonts w:ascii="Arial" w:hAnsi="Arial" w:cs="Arial"/>
          <w:color w:val="000000"/>
        </w:rPr>
        <w:t>Nr</w:t>
      </w:r>
      <w:r w:rsidR="009A59EA" w:rsidRPr="009B287C">
        <w:rPr>
          <w:rFonts w:ascii="Arial" w:hAnsi="Arial" w:cs="Arial"/>
          <w:color w:val="000000"/>
        </w:rPr>
        <w:t>. 5</w:t>
      </w:r>
      <w:r w:rsidR="009A59EA" w:rsidRPr="00E02ECA">
        <w:rPr>
          <w:rFonts w:ascii="Arial" w:hAnsi="Arial" w:cs="Arial"/>
          <w:color w:val="000000"/>
        </w:rPr>
        <w:t xml:space="preserve"> I</w:t>
      </w:r>
      <w:r w:rsidR="009B287C">
        <w:rPr>
          <w:rFonts w:ascii="Arial" w:hAnsi="Arial" w:cs="Arial"/>
          <w:color w:val="000000"/>
        </w:rPr>
        <w:t>nfektionsschutzgesetz</w:t>
      </w:r>
      <w:r w:rsidR="009A59EA" w:rsidRPr="00E02ECA">
        <w:rPr>
          <w:rFonts w:ascii="Arial" w:hAnsi="Arial" w:cs="Arial"/>
          <w:color w:val="000000"/>
        </w:rPr>
        <w:t xml:space="preserve"> zuwiderhandelt</w:t>
      </w:r>
    </w:p>
    <w:p w:rsidR="00E02ECA" w:rsidRPr="00A327F3" w:rsidRDefault="00E02ECA" w:rsidP="00E02ECA">
      <w:pPr>
        <w:autoSpaceDE w:val="0"/>
        <w:autoSpaceDN w:val="0"/>
        <w:adjustRightInd w:val="0"/>
        <w:rPr>
          <w:rFonts w:ascii="Arial" w:hAnsi="Arial" w:cs="Arial"/>
          <w:color w:val="000000"/>
        </w:rPr>
      </w:pPr>
      <w:r w:rsidRPr="00A327F3">
        <w:rPr>
          <w:rFonts w:ascii="Arial" w:hAnsi="Arial" w:cs="Arial"/>
          <w:color w:val="000000"/>
        </w:rPr>
        <w:t>oder vorsätzlich oder fahrlässig einer entsprechenden vollziehbaren Anordnung nach § 17 Abs</w:t>
      </w:r>
      <w:r w:rsidR="009B287C">
        <w:rPr>
          <w:rFonts w:ascii="Arial" w:hAnsi="Arial" w:cs="Arial"/>
          <w:color w:val="000000"/>
        </w:rPr>
        <w:t>atz</w:t>
      </w:r>
      <w:r w:rsidRPr="00A327F3">
        <w:rPr>
          <w:rFonts w:ascii="Arial" w:hAnsi="Arial" w:cs="Arial"/>
          <w:color w:val="000000"/>
        </w:rPr>
        <w:t xml:space="preserve"> 1 I</w:t>
      </w:r>
      <w:r w:rsidR="009B287C">
        <w:rPr>
          <w:rFonts w:ascii="Arial" w:hAnsi="Arial" w:cs="Arial"/>
          <w:color w:val="000000"/>
        </w:rPr>
        <w:t>nfektionsschutzgesetz</w:t>
      </w:r>
      <w:r w:rsidRPr="00A327F3">
        <w:rPr>
          <w:rFonts w:ascii="Arial" w:hAnsi="Arial" w:cs="Arial"/>
          <w:color w:val="000000"/>
        </w:rPr>
        <w:t xml:space="preserve"> zuwiderhandelt.</w:t>
      </w:r>
      <w:r w:rsidR="009B287C">
        <w:rPr>
          <w:rFonts w:ascii="Arial" w:hAnsi="Arial" w:cs="Arial"/>
          <w:color w:val="000000"/>
        </w:rPr>
        <w:t>“</w:t>
      </w:r>
    </w:p>
    <w:p w:rsidR="00320C14" w:rsidRDefault="00320C14" w:rsidP="000A4C53">
      <w:pPr>
        <w:spacing w:before="100" w:beforeAutospacing="1" w:after="100" w:afterAutospacing="1"/>
        <w:rPr>
          <w:rFonts w:ascii="Arial" w:hAnsi="Arial" w:cs="Arial"/>
          <w:color w:val="000000"/>
        </w:rPr>
      </w:pPr>
    </w:p>
    <w:p w:rsidR="009B287C" w:rsidRPr="00E02ECA" w:rsidRDefault="009B287C" w:rsidP="000A4C53">
      <w:pPr>
        <w:spacing w:before="100" w:beforeAutospacing="1" w:after="100" w:afterAutospacing="1"/>
        <w:rPr>
          <w:rFonts w:ascii="Arial" w:hAnsi="Arial" w:cs="Arial"/>
          <w:color w:val="000000"/>
        </w:rPr>
      </w:pPr>
      <w:r>
        <w:rPr>
          <w:rFonts w:ascii="Arial" w:hAnsi="Arial" w:cs="Arial"/>
          <w:color w:val="000000"/>
        </w:rPr>
        <w:t>3.</w:t>
      </w:r>
      <w:r>
        <w:rPr>
          <w:rFonts w:ascii="Arial" w:hAnsi="Arial" w:cs="Arial"/>
          <w:color w:val="000000"/>
        </w:rPr>
        <w:tab/>
        <w:t>Diese Verordnung tritt am Tage nach ihrer Verkündung in Kraft.</w:t>
      </w:r>
    </w:p>
    <w:bookmarkEnd w:id="2"/>
    <w:p w:rsidR="00296907" w:rsidRDefault="00296907" w:rsidP="003915A3">
      <w:pPr>
        <w:spacing w:before="100" w:beforeAutospacing="1" w:after="100" w:afterAutospacing="1"/>
        <w:rPr>
          <w:rFonts w:ascii="Arial" w:hAnsi="Arial" w:cs="Arial"/>
          <w:color w:val="000000"/>
        </w:rPr>
      </w:pPr>
    </w:p>
    <w:p w:rsidR="009B287C" w:rsidRPr="00E02ECA" w:rsidRDefault="009B287C" w:rsidP="003915A3">
      <w:pPr>
        <w:spacing w:before="100" w:beforeAutospacing="1" w:after="100" w:afterAutospacing="1"/>
        <w:rPr>
          <w:rFonts w:ascii="Arial" w:hAnsi="Arial" w:cs="Arial"/>
          <w:color w:val="000000"/>
        </w:rPr>
      </w:pPr>
    </w:p>
    <w:p w:rsidR="00296907" w:rsidRPr="00E02ECA" w:rsidRDefault="00296907" w:rsidP="00296907">
      <w:pPr>
        <w:spacing w:before="100" w:beforeAutospacing="1" w:after="100" w:afterAutospacing="1"/>
        <w:jc w:val="center"/>
        <w:rPr>
          <w:rFonts w:ascii="Arial" w:hAnsi="Arial" w:cs="Arial"/>
          <w:color w:val="000000"/>
        </w:rPr>
      </w:pPr>
      <w:r w:rsidRPr="00E02ECA">
        <w:rPr>
          <w:rFonts w:ascii="Arial" w:hAnsi="Arial" w:cs="Arial"/>
          <w:color w:val="000000"/>
        </w:rPr>
        <w:t xml:space="preserve">Die </w:t>
      </w:r>
      <w:r w:rsidR="00E25757" w:rsidRPr="00E02ECA">
        <w:rPr>
          <w:rFonts w:ascii="Arial" w:hAnsi="Arial" w:cs="Arial"/>
          <w:color w:val="000000"/>
        </w:rPr>
        <w:t>vorstehende Verordnung ist hiermit ausgefertigt und ist zu verkünden.</w:t>
      </w:r>
    </w:p>
    <w:p w:rsidR="00053A17" w:rsidRPr="00E02ECA" w:rsidRDefault="0072626E" w:rsidP="00053A17">
      <w:pPr>
        <w:spacing w:before="100" w:beforeAutospacing="1" w:after="100" w:afterAutospacing="1"/>
        <w:rPr>
          <w:rFonts w:ascii="Arial" w:hAnsi="Arial" w:cs="Arial"/>
          <w:color w:val="000000"/>
        </w:rPr>
      </w:pPr>
      <w:r>
        <w:rPr>
          <w:rFonts w:ascii="Arial" w:hAnsi="Arial" w:cs="Arial"/>
          <w:color w:val="000000"/>
        </w:rPr>
        <w:t xml:space="preserve">Kiel, </w:t>
      </w:r>
    </w:p>
    <w:p w:rsidR="008B04CC" w:rsidRDefault="008B04CC" w:rsidP="00296907">
      <w:pPr>
        <w:spacing w:before="100" w:beforeAutospacing="1" w:after="100" w:afterAutospacing="1"/>
        <w:jc w:val="center"/>
        <w:rPr>
          <w:rFonts w:ascii="Arial" w:hAnsi="Arial" w:cs="Arial"/>
          <w:color w:val="000000"/>
        </w:rPr>
      </w:pPr>
    </w:p>
    <w:p w:rsidR="008B04CC" w:rsidRDefault="008B04CC" w:rsidP="00296907">
      <w:pPr>
        <w:spacing w:before="100" w:beforeAutospacing="1" w:after="100" w:afterAutospacing="1"/>
        <w:jc w:val="center"/>
        <w:rPr>
          <w:rFonts w:ascii="Arial" w:hAnsi="Arial" w:cs="Arial"/>
          <w:color w:val="000000"/>
        </w:rPr>
      </w:pPr>
      <w:r>
        <w:rPr>
          <w:rFonts w:ascii="Arial" w:hAnsi="Arial" w:cs="Arial"/>
          <w:color w:val="000000"/>
        </w:rPr>
        <w:t>Dr. Heiner Garg</w:t>
      </w:r>
    </w:p>
    <w:p w:rsidR="00162CBB" w:rsidRPr="00E02ECA" w:rsidRDefault="002909C0" w:rsidP="00296907">
      <w:pPr>
        <w:spacing w:before="100" w:beforeAutospacing="1" w:after="100" w:afterAutospacing="1"/>
        <w:jc w:val="center"/>
        <w:rPr>
          <w:rFonts w:ascii="Arial" w:hAnsi="Arial" w:cs="Arial"/>
          <w:color w:val="000000"/>
        </w:rPr>
      </w:pPr>
      <w:r>
        <w:rPr>
          <w:rFonts w:ascii="Arial" w:hAnsi="Arial" w:cs="Arial"/>
          <w:color w:val="000000"/>
        </w:rPr>
        <w:t>Minister</w:t>
      </w:r>
      <w:r w:rsidR="009B287C">
        <w:rPr>
          <w:rFonts w:ascii="Arial" w:hAnsi="Arial" w:cs="Arial"/>
          <w:color w:val="000000"/>
        </w:rPr>
        <w:t xml:space="preserve"> </w:t>
      </w:r>
      <w:r w:rsidR="00162CBB" w:rsidRPr="00E02ECA">
        <w:rPr>
          <w:rFonts w:ascii="Arial" w:hAnsi="Arial" w:cs="Arial"/>
          <w:color w:val="000000"/>
        </w:rPr>
        <w:t>für Soziales, Gesundheit, Familie</w:t>
      </w:r>
      <w:r w:rsidR="00053A17" w:rsidRPr="00E02ECA">
        <w:rPr>
          <w:rFonts w:ascii="Arial" w:hAnsi="Arial" w:cs="Arial"/>
          <w:color w:val="000000"/>
        </w:rPr>
        <w:t>,</w:t>
      </w:r>
      <w:r w:rsidR="00162CBB" w:rsidRPr="00E02ECA">
        <w:rPr>
          <w:rFonts w:ascii="Arial" w:hAnsi="Arial" w:cs="Arial"/>
          <w:color w:val="000000"/>
        </w:rPr>
        <w:t xml:space="preserve"> Jugend</w:t>
      </w:r>
      <w:r w:rsidR="009B287C">
        <w:rPr>
          <w:rFonts w:ascii="Arial" w:hAnsi="Arial" w:cs="Arial"/>
          <w:color w:val="000000"/>
        </w:rPr>
        <w:t xml:space="preserve">, </w:t>
      </w:r>
      <w:r w:rsidR="009B287C">
        <w:rPr>
          <w:rFonts w:ascii="Arial" w:hAnsi="Arial" w:cs="Arial"/>
          <w:color w:val="000000"/>
        </w:rPr>
        <w:br/>
        <w:t>Familie</w:t>
      </w:r>
      <w:r w:rsidR="00162CBB" w:rsidRPr="00E02ECA">
        <w:rPr>
          <w:rFonts w:ascii="Arial" w:hAnsi="Arial" w:cs="Arial"/>
          <w:color w:val="000000"/>
        </w:rPr>
        <w:t xml:space="preserve"> und Senioren</w:t>
      </w:r>
    </w:p>
    <w:p w:rsidR="00E25757" w:rsidRPr="00E02ECA" w:rsidRDefault="00E25757" w:rsidP="00162CBB">
      <w:pPr>
        <w:spacing w:before="100" w:beforeAutospacing="1" w:after="100" w:afterAutospacing="1"/>
        <w:rPr>
          <w:rFonts w:ascii="Arial" w:hAnsi="Arial" w:cs="Arial"/>
          <w:color w:val="000000"/>
        </w:rPr>
      </w:pPr>
    </w:p>
    <w:sectPr w:rsidR="00E25757" w:rsidRPr="00E02ECA" w:rsidSect="0004734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9D0" w:rsidRDefault="004629D0">
      <w:r>
        <w:separator/>
      </w:r>
    </w:p>
  </w:endnote>
  <w:endnote w:type="continuationSeparator" w:id="0">
    <w:p w:rsidR="004629D0" w:rsidRDefault="0046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22" w:rsidRDefault="008D412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22" w:rsidRDefault="008D412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22" w:rsidRDefault="008D41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9D0" w:rsidRDefault="004629D0">
      <w:r>
        <w:separator/>
      </w:r>
    </w:p>
  </w:footnote>
  <w:footnote w:type="continuationSeparator" w:id="0">
    <w:p w:rsidR="004629D0" w:rsidRDefault="004629D0">
      <w:r>
        <w:continuationSeparator/>
      </w:r>
    </w:p>
  </w:footnote>
  <w:footnote w:id="1">
    <w:p w:rsidR="00D21937" w:rsidRDefault="00D21937">
      <w:pPr>
        <w:pStyle w:val="Funotentext"/>
      </w:pPr>
      <w:r w:rsidRPr="00CD56BF">
        <w:rPr>
          <w:rStyle w:val="Funotenzeichen"/>
        </w:rPr>
        <w:footnoteRef/>
      </w:r>
      <w:r w:rsidRPr="00CD56BF">
        <w:t xml:space="preserve"> </w:t>
      </w:r>
      <w:proofErr w:type="spellStart"/>
      <w:r w:rsidRPr="00CD56BF">
        <w:t>Notifiziert</w:t>
      </w:r>
      <w:proofErr w:type="spellEnd"/>
      <w:r w:rsidRPr="00CD56BF">
        <w:t xml:space="preserve"> gemäß der Richtlinie (EU) 2015/1535 des Europäischen Parlaments und des Rates vom 9. September 2015 über ein Informationsverfahren auf dem Gebiet der technischen Vorschriften und der Vorschriften für die Dienste der Informationsgesellschaft (ABl. L 241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22" w:rsidRDefault="008D412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24" w:rsidRDefault="00332424">
    <w:pPr>
      <w:pStyle w:val="Kopfzeile"/>
    </w:pPr>
    <w:r>
      <w:t xml:space="preserve">Stand: </w:t>
    </w:r>
    <w:r w:rsidR="00502122">
      <w:t>07</w:t>
    </w:r>
    <w:r w:rsidR="00604531">
      <w:t>.</w:t>
    </w:r>
    <w:r w:rsidR="00502122">
      <w:t>11</w:t>
    </w:r>
    <w:r w:rsidR="00604531">
      <w:t>.2019</w:t>
    </w:r>
  </w:p>
  <w:p w:rsidR="00604531" w:rsidRDefault="0060453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22" w:rsidRDefault="008D412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D6C"/>
    <w:multiLevelType w:val="hybridMultilevel"/>
    <w:tmpl w:val="20388B8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02A7D50"/>
    <w:multiLevelType w:val="hybridMultilevel"/>
    <w:tmpl w:val="6E66C1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997251F"/>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BC2F39"/>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C950C2"/>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AB1CE8"/>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1B3FA2"/>
    <w:multiLevelType w:val="hybridMultilevel"/>
    <w:tmpl w:val="22825B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D1"/>
    <w:rsid w:val="000308BD"/>
    <w:rsid w:val="0003115C"/>
    <w:rsid w:val="000321CF"/>
    <w:rsid w:val="000468BA"/>
    <w:rsid w:val="00047345"/>
    <w:rsid w:val="00050CC6"/>
    <w:rsid w:val="00053A17"/>
    <w:rsid w:val="00054890"/>
    <w:rsid w:val="00070B35"/>
    <w:rsid w:val="0009361E"/>
    <w:rsid w:val="000A4C53"/>
    <w:rsid w:val="000D38CA"/>
    <w:rsid w:val="000E5C23"/>
    <w:rsid w:val="000E6AD7"/>
    <w:rsid w:val="000F6F86"/>
    <w:rsid w:val="00135BE1"/>
    <w:rsid w:val="00162CBB"/>
    <w:rsid w:val="0016494F"/>
    <w:rsid w:val="00187929"/>
    <w:rsid w:val="00196991"/>
    <w:rsid w:val="00196BA0"/>
    <w:rsid w:val="001B1499"/>
    <w:rsid w:val="001C2F70"/>
    <w:rsid w:val="001C446C"/>
    <w:rsid w:val="0021055C"/>
    <w:rsid w:val="00232F10"/>
    <w:rsid w:val="00246D87"/>
    <w:rsid w:val="0027621C"/>
    <w:rsid w:val="002909C0"/>
    <w:rsid w:val="00296907"/>
    <w:rsid w:val="002A0A9F"/>
    <w:rsid w:val="002C7D44"/>
    <w:rsid w:val="002D5E8E"/>
    <w:rsid w:val="002D7681"/>
    <w:rsid w:val="002E3798"/>
    <w:rsid w:val="002E5723"/>
    <w:rsid w:val="00320C14"/>
    <w:rsid w:val="0032523E"/>
    <w:rsid w:val="00332424"/>
    <w:rsid w:val="00355650"/>
    <w:rsid w:val="003563B9"/>
    <w:rsid w:val="00376188"/>
    <w:rsid w:val="003860AD"/>
    <w:rsid w:val="003915A3"/>
    <w:rsid w:val="003B11BE"/>
    <w:rsid w:val="003D7232"/>
    <w:rsid w:val="003E0117"/>
    <w:rsid w:val="003F22BC"/>
    <w:rsid w:val="003F3101"/>
    <w:rsid w:val="003F3FB6"/>
    <w:rsid w:val="00416234"/>
    <w:rsid w:val="00441EBA"/>
    <w:rsid w:val="00454560"/>
    <w:rsid w:val="004557AC"/>
    <w:rsid w:val="004629D0"/>
    <w:rsid w:val="00482008"/>
    <w:rsid w:val="0049179C"/>
    <w:rsid w:val="004A320E"/>
    <w:rsid w:val="004A4853"/>
    <w:rsid w:val="004A4974"/>
    <w:rsid w:val="004C7E66"/>
    <w:rsid w:val="004E01D5"/>
    <w:rsid w:val="004E380D"/>
    <w:rsid w:val="004E5A19"/>
    <w:rsid w:val="004F2DA5"/>
    <w:rsid w:val="004F796D"/>
    <w:rsid w:val="00502122"/>
    <w:rsid w:val="00504F13"/>
    <w:rsid w:val="005255F7"/>
    <w:rsid w:val="005431CC"/>
    <w:rsid w:val="00543252"/>
    <w:rsid w:val="0056147E"/>
    <w:rsid w:val="0056270B"/>
    <w:rsid w:val="00570E65"/>
    <w:rsid w:val="005769B1"/>
    <w:rsid w:val="005812F1"/>
    <w:rsid w:val="005A5CE9"/>
    <w:rsid w:val="005A7F3F"/>
    <w:rsid w:val="005B42F9"/>
    <w:rsid w:val="005B4BC5"/>
    <w:rsid w:val="005D67F5"/>
    <w:rsid w:val="005D6E9B"/>
    <w:rsid w:val="00604531"/>
    <w:rsid w:val="006409D1"/>
    <w:rsid w:val="0064128D"/>
    <w:rsid w:val="0065292B"/>
    <w:rsid w:val="00675920"/>
    <w:rsid w:val="0068525C"/>
    <w:rsid w:val="006E0AB9"/>
    <w:rsid w:val="006F3D15"/>
    <w:rsid w:val="007100B0"/>
    <w:rsid w:val="007214FB"/>
    <w:rsid w:val="0072243A"/>
    <w:rsid w:val="007261F3"/>
    <w:rsid w:val="0072626E"/>
    <w:rsid w:val="00754BD3"/>
    <w:rsid w:val="007663CB"/>
    <w:rsid w:val="00780810"/>
    <w:rsid w:val="00780B23"/>
    <w:rsid w:val="0078393D"/>
    <w:rsid w:val="00783E08"/>
    <w:rsid w:val="007C0D13"/>
    <w:rsid w:val="007D6190"/>
    <w:rsid w:val="007F665B"/>
    <w:rsid w:val="00824DA1"/>
    <w:rsid w:val="00834EF4"/>
    <w:rsid w:val="008417AE"/>
    <w:rsid w:val="00863B87"/>
    <w:rsid w:val="008654A4"/>
    <w:rsid w:val="008655E5"/>
    <w:rsid w:val="00886AF3"/>
    <w:rsid w:val="008A6CEC"/>
    <w:rsid w:val="008B04CC"/>
    <w:rsid w:val="008C0780"/>
    <w:rsid w:val="008D4122"/>
    <w:rsid w:val="008E0E97"/>
    <w:rsid w:val="008F05E7"/>
    <w:rsid w:val="008F2A34"/>
    <w:rsid w:val="00950CE3"/>
    <w:rsid w:val="0095301E"/>
    <w:rsid w:val="00985CCE"/>
    <w:rsid w:val="0099545A"/>
    <w:rsid w:val="009A57EA"/>
    <w:rsid w:val="009A59EA"/>
    <w:rsid w:val="009B287C"/>
    <w:rsid w:val="009B7A95"/>
    <w:rsid w:val="009E6341"/>
    <w:rsid w:val="00A002D9"/>
    <w:rsid w:val="00A30B63"/>
    <w:rsid w:val="00A327F3"/>
    <w:rsid w:val="00A46390"/>
    <w:rsid w:val="00A57809"/>
    <w:rsid w:val="00A7403D"/>
    <w:rsid w:val="00A82B88"/>
    <w:rsid w:val="00A952EA"/>
    <w:rsid w:val="00AA61AA"/>
    <w:rsid w:val="00AF35BF"/>
    <w:rsid w:val="00B112F6"/>
    <w:rsid w:val="00B12305"/>
    <w:rsid w:val="00B17A0B"/>
    <w:rsid w:val="00B23D15"/>
    <w:rsid w:val="00B27676"/>
    <w:rsid w:val="00B31271"/>
    <w:rsid w:val="00B3359F"/>
    <w:rsid w:val="00B54FC6"/>
    <w:rsid w:val="00B65C3B"/>
    <w:rsid w:val="00B77E70"/>
    <w:rsid w:val="00B84772"/>
    <w:rsid w:val="00BB3FE5"/>
    <w:rsid w:val="00BC1D03"/>
    <w:rsid w:val="00C3200F"/>
    <w:rsid w:val="00C522A0"/>
    <w:rsid w:val="00C539A5"/>
    <w:rsid w:val="00C671BD"/>
    <w:rsid w:val="00C800FB"/>
    <w:rsid w:val="00C853EA"/>
    <w:rsid w:val="00C90822"/>
    <w:rsid w:val="00CB4905"/>
    <w:rsid w:val="00CD56BF"/>
    <w:rsid w:val="00CF41F1"/>
    <w:rsid w:val="00CF6A79"/>
    <w:rsid w:val="00D07291"/>
    <w:rsid w:val="00D21937"/>
    <w:rsid w:val="00D31C44"/>
    <w:rsid w:val="00D86EEA"/>
    <w:rsid w:val="00DA150F"/>
    <w:rsid w:val="00DA5F14"/>
    <w:rsid w:val="00DA6B0B"/>
    <w:rsid w:val="00DE6D61"/>
    <w:rsid w:val="00DE6DAC"/>
    <w:rsid w:val="00DF1D24"/>
    <w:rsid w:val="00DF4F63"/>
    <w:rsid w:val="00DF7B4F"/>
    <w:rsid w:val="00E02ECA"/>
    <w:rsid w:val="00E157F7"/>
    <w:rsid w:val="00E2259D"/>
    <w:rsid w:val="00E235E8"/>
    <w:rsid w:val="00E25757"/>
    <w:rsid w:val="00E42B3B"/>
    <w:rsid w:val="00E50B8E"/>
    <w:rsid w:val="00E918A0"/>
    <w:rsid w:val="00E9259D"/>
    <w:rsid w:val="00EC67D8"/>
    <w:rsid w:val="00ED6527"/>
    <w:rsid w:val="00F004F2"/>
    <w:rsid w:val="00F5088B"/>
    <w:rsid w:val="00F555AE"/>
    <w:rsid w:val="00F84A24"/>
    <w:rsid w:val="00F86B8E"/>
    <w:rsid w:val="00F877FF"/>
    <w:rsid w:val="00FC296C"/>
    <w:rsid w:val="00FC6C59"/>
    <w:rsid w:val="00FD7BC0"/>
    <w:rsid w:val="00FE21AB"/>
    <w:rsid w:val="00FE7919"/>
    <w:rsid w:val="00FF0303"/>
    <w:rsid w:val="00FF2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0A4C53"/>
    <w:pPr>
      <w:spacing w:before="100" w:beforeAutospacing="1" w:after="100" w:afterAutospacing="1"/>
    </w:pPr>
    <w:rPr>
      <w:color w:val="000000"/>
    </w:rPr>
  </w:style>
  <w:style w:type="paragraph" w:styleId="Sprechblasentext">
    <w:name w:val="Balloon Text"/>
    <w:basedOn w:val="Standard"/>
    <w:semiHidden/>
    <w:rsid w:val="00F555AE"/>
    <w:rPr>
      <w:rFonts w:ascii="Tahoma" w:hAnsi="Tahoma" w:cs="Tahoma"/>
      <w:sz w:val="16"/>
      <w:szCs w:val="16"/>
    </w:rPr>
  </w:style>
  <w:style w:type="character" w:styleId="Kommentarzeichen">
    <w:name w:val="annotation reference"/>
    <w:semiHidden/>
    <w:rsid w:val="00A002D9"/>
    <w:rPr>
      <w:sz w:val="16"/>
      <w:szCs w:val="16"/>
    </w:rPr>
  </w:style>
  <w:style w:type="paragraph" w:styleId="Kommentartext">
    <w:name w:val="annotation text"/>
    <w:basedOn w:val="Standard"/>
    <w:semiHidden/>
    <w:rsid w:val="00A002D9"/>
    <w:rPr>
      <w:sz w:val="20"/>
      <w:szCs w:val="20"/>
    </w:rPr>
  </w:style>
  <w:style w:type="paragraph" w:styleId="Kommentarthema">
    <w:name w:val="annotation subject"/>
    <w:basedOn w:val="Kommentartext"/>
    <w:next w:val="Kommentartext"/>
    <w:semiHidden/>
    <w:rsid w:val="00A002D9"/>
    <w:rPr>
      <w:b/>
      <w:bCs/>
    </w:rPr>
  </w:style>
  <w:style w:type="table" w:styleId="Tabellenraster">
    <w:name w:val="Table Grid"/>
    <w:basedOn w:val="NormaleTabelle"/>
    <w:rsid w:val="0016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60AD"/>
    <w:rPr>
      <w:color w:val="0000FF"/>
      <w:u w:val="single"/>
    </w:rPr>
  </w:style>
  <w:style w:type="paragraph" w:styleId="Kopfzeile">
    <w:name w:val="header"/>
    <w:basedOn w:val="Standard"/>
    <w:rsid w:val="00A30B63"/>
    <w:pPr>
      <w:tabs>
        <w:tab w:val="center" w:pos="4536"/>
        <w:tab w:val="right" w:pos="9072"/>
      </w:tabs>
    </w:pPr>
  </w:style>
  <w:style w:type="paragraph" w:styleId="Fuzeile">
    <w:name w:val="footer"/>
    <w:basedOn w:val="Standard"/>
    <w:rsid w:val="00A30B63"/>
    <w:pPr>
      <w:tabs>
        <w:tab w:val="center" w:pos="4536"/>
        <w:tab w:val="right" w:pos="9072"/>
      </w:tabs>
    </w:pPr>
  </w:style>
  <w:style w:type="paragraph" w:styleId="Funotentext">
    <w:name w:val="footnote text"/>
    <w:basedOn w:val="Standard"/>
    <w:link w:val="FunotentextZchn"/>
    <w:uiPriority w:val="99"/>
    <w:semiHidden/>
    <w:unhideWhenUsed/>
    <w:rsid w:val="00D21937"/>
    <w:rPr>
      <w:sz w:val="20"/>
      <w:szCs w:val="20"/>
    </w:rPr>
  </w:style>
  <w:style w:type="character" w:customStyle="1" w:styleId="FunotentextZchn">
    <w:name w:val="Fußnotentext Zchn"/>
    <w:basedOn w:val="Absatz-Standardschriftart"/>
    <w:link w:val="Funotentext"/>
    <w:uiPriority w:val="99"/>
    <w:semiHidden/>
    <w:rsid w:val="00D21937"/>
  </w:style>
  <w:style w:type="character" w:styleId="Funotenzeichen">
    <w:name w:val="footnote reference"/>
    <w:uiPriority w:val="99"/>
    <w:semiHidden/>
    <w:unhideWhenUsed/>
    <w:rsid w:val="00D219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0A4C53"/>
    <w:pPr>
      <w:spacing w:before="100" w:beforeAutospacing="1" w:after="100" w:afterAutospacing="1"/>
    </w:pPr>
    <w:rPr>
      <w:color w:val="000000"/>
    </w:rPr>
  </w:style>
  <w:style w:type="paragraph" w:styleId="Sprechblasentext">
    <w:name w:val="Balloon Text"/>
    <w:basedOn w:val="Standard"/>
    <w:semiHidden/>
    <w:rsid w:val="00F555AE"/>
    <w:rPr>
      <w:rFonts w:ascii="Tahoma" w:hAnsi="Tahoma" w:cs="Tahoma"/>
      <w:sz w:val="16"/>
      <w:szCs w:val="16"/>
    </w:rPr>
  </w:style>
  <w:style w:type="character" w:styleId="Kommentarzeichen">
    <w:name w:val="annotation reference"/>
    <w:semiHidden/>
    <w:rsid w:val="00A002D9"/>
    <w:rPr>
      <w:sz w:val="16"/>
      <w:szCs w:val="16"/>
    </w:rPr>
  </w:style>
  <w:style w:type="paragraph" w:styleId="Kommentartext">
    <w:name w:val="annotation text"/>
    <w:basedOn w:val="Standard"/>
    <w:semiHidden/>
    <w:rsid w:val="00A002D9"/>
    <w:rPr>
      <w:sz w:val="20"/>
      <w:szCs w:val="20"/>
    </w:rPr>
  </w:style>
  <w:style w:type="paragraph" w:styleId="Kommentarthema">
    <w:name w:val="annotation subject"/>
    <w:basedOn w:val="Kommentartext"/>
    <w:next w:val="Kommentartext"/>
    <w:semiHidden/>
    <w:rsid w:val="00A002D9"/>
    <w:rPr>
      <w:b/>
      <w:bCs/>
    </w:rPr>
  </w:style>
  <w:style w:type="table" w:styleId="Tabellenraster">
    <w:name w:val="Table Grid"/>
    <w:basedOn w:val="NormaleTabelle"/>
    <w:rsid w:val="0016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60AD"/>
    <w:rPr>
      <w:color w:val="0000FF"/>
      <w:u w:val="single"/>
    </w:rPr>
  </w:style>
  <w:style w:type="paragraph" w:styleId="Kopfzeile">
    <w:name w:val="header"/>
    <w:basedOn w:val="Standard"/>
    <w:rsid w:val="00A30B63"/>
    <w:pPr>
      <w:tabs>
        <w:tab w:val="center" w:pos="4536"/>
        <w:tab w:val="right" w:pos="9072"/>
      </w:tabs>
    </w:pPr>
  </w:style>
  <w:style w:type="paragraph" w:styleId="Fuzeile">
    <w:name w:val="footer"/>
    <w:basedOn w:val="Standard"/>
    <w:rsid w:val="00A30B63"/>
    <w:pPr>
      <w:tabs>
        <w:tab w:val="center" w:pos="4536"/>
        <w:tab w:val="right" w:pos="9072"/>
      </w:tabs>
    </w:pPr>
  </w:style>
  <w:style w:type="paragraph" w:styleId="Funotentext">
    <w:name w:val="footnote text"/>
    <w:basedOn w:val="Standard"/>
    <w:link w:val="FunotentextZchn"/>
    <w:uiPriority w:val="99"/>
    <w:semiHidden/>
    <w:unhideWhenUsed/>
    <w:rsid w:val="00D21937"/>
    <w:rPr>
      <w:sz w:val="20"/>
      <w:szCs w:val="20"/>
    </w:rPr>
  </w:style>
  <w:style w:type="character" w:customStyle="1" w:styleId="FunotentextZchn">
    <w:name w:val="Fußnotentext Zchn"/>
    <w:basedOn w:val="Absatz-Standardschriftart"/>
    <w:link w:val="Funotentext"/>
    <w:uiPriority w:val="99"/>
    <w:semiHidden/>
    <w:rsid w:val="00D21937"/>
  </w:style>
  <w:style w:type="character" w:styleId="Funotenzeichen">
    <w:name w:val="footnote reference"/>
    <w:uiPriority w:val="99"/>
    <w:semiHidden/>
    <w:unhideWhenUsed/>
    <w:rsid w:val="00D219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9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2297FFD-A285-433A-AB23-8D199F5A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3108</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Landesverordnung</vt:lpstr>
    </vt:vector>
  </TitlesOfParts>
  <Company>Schleswig-Holstein</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Landesverordnung</dc:title>
  <dc:creator>inge.soltsien</dc:creator>
  <cp:lastModifiedBy>Redmann, Petra, EB2</cp:lastModifiedBy>
  <cp:revision>2</cp:revision>
  <cp:lastPrinted>2007-07-05T12:39:00Z</cp:lastPrinted>
  <dcterms:created xsi:type="dcterms:W3CDTF">2019-12-02T11:19:00Z</dcterms:created>
  <dcterms:modified xsi:type="dcterms:W3CDTF">2019-12-02T11:19:00Z</dcterms:modified>
</cp:coreProperties>
</file>