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3D0F" w:rsidRPr="00B00403" w:rsidRDefault="00943D0F" w:rsidP="00943D0F">
      <w:pPr>
        <w:pStyle w:val="PlainText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/>
          <w:sz w:val="20"/>
        </w:rPr>
        <w:t xml:space="preserve">1. ------IND- 2017 0284 S-- ES- ------ 20190508 --- --- FINAL </w:t>
      </w:r>
    </w:p>
    <w:p w:rsidR="00943D0F" w:rsidRDefault="00943D0F" w:rsidP="00015EA3">
      <w:pPr>
        <w:spacing w:after="120" w:line="259" w:lineRule="auto"/>
        <w:ind w:left="0" w:firstLine="0"/>
        <w:jc w:val="left"/>
        <w:rPr>
          <w:b/>
          <w:sz w:val="36"/>
        </w:rPr>
      </w:pPr>
    </w:p>
    <w:p w:rsidR="00DB4B0C" w:rsidRDefault="00643102" w:rsidP="00015EA3">
      <w:pPr>
        <w:spacing w:after="120" w:line="259" w:lineRule="auto"/>
        <w:ind w:left="0" w:firstLine="0"/>
        <w:jc w:val="left"/>
        <w:rPr>
          <w:b/>
          <w:sz w:val="36"/>
        </w:rPr>
      </w:pPr>
      <w:r>
        <w:rPr>
          <w:noProof/>
          <w:lang w:val="en-US" w:eastAsia="zh-CN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3790950</wp:posOffset>
            </wp:positionH>
            <wp:positionV relativeFrom="paragraph">
              <wp:posOffset>-212725</wp:posOffset>
            </wp:positionV>
            <wp:extent cx="431800" cy="768985"/>
            <wp:effectExtent l="0" t="0" r="6350" b="0"/>
            <wp:wrapNone/>
            <wp:docPr id="21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768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6"/>
        </w:rPr>
        <w:t>Código de Leyes de Suecia</w:t>
      </w:r>
    </w:p>
    <w:p w:rsidR="00015EA3" w:rsidRDefault="00643102" w:rsidP="00015EA3">
      <w:pPr>
        <w:pBdr>
          <w:bottom w:val="single" w:sz="4" w:space="1" w:color="auto"/>
        </w:pBdr>
        <w:spacing w:after="120" w:line="259" w:lineRule="auto"/>
        <w:ind w:left="0" w:firstLine="0"/>
        <w:jc w:val="left"/>
        <w:rPr>
          <w:b/>
          <w:sz w:val="36"/>
        </w:rPr>
      </w:pPr>
      <w:r>
        <w:rPr>
          <w:b/>
          <w:noProof/>
          <w:sz w:val="26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3745865</wp:posOffset>
                </wp:positionH>
                <wp:positionV relativeFrom="paragraph">
                  <wp:posOffset>337820</wp:posOffset>
                </wp:positionV>
                <wp:extent cx="1264920" cy="828040"/>
                <wp:effectExtent l="0" t="0" r="3175" b="4445"/>
                <wp:wrapNone/>
                <wp:docPr id="3" name="Textruta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4920" cy="828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B4B0C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  <w:t>SFS 2018:55</w:t>
                            </w:r>
                          </w:p>
                          <w:p w:rsidR="00DB4B0C" w:rsidRPr="00D30131" w:rsidRDefault="00DB4B0C" w:rsidP="00DB4B0C">
                            <w:pPr>
                              <w:spacing w:after="160" w:line="259" w:lineRule="auto"/>
                              <w:ind w:left="0" w:firstLine="0"/>
                              <w:jc w:val="left"/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>Publicado</w:t>
                            </w:r>
                            <w:r>
                              <w:br/>
                              <w:t>el 13 de febrero de 2018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" o:spid="_x0000_s1026" type="#_x0000_t202" style="position:absolute;margin-left:294.95pt;margin-top:26.6pt;width:99.6pt;height:65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" stroked="f" strokeweight=".5pt">
                <v:textbox inset="0,0,0,0">
                  <w:txbxContent>
                    <w:p w:rsidR="00DB4B0C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  <w:t>SFS 2018:55</w:t>
                      </w:r>
                    </w:p>
                    <w:p w:rsidR="00DB4B0C" w:rsidRPr="00D30131" w:rsidRDefault="00DB4B0C" w:rsidP="00DB4B0C">
                      <w:pPr>
                        <w:spacing w:after="160" w:line="259" w:lineRule="auto"/>
                        <w:ind w:left="0" w:firstLine="0"/>
                        <w:jc w:val="left"/>
                        <w:rPr>
                          <w:sz w:val="17"/>
                          <w:szCs w:val="17"/>
                        </w:rPr>
                      </w:pPr>
                      <w:r>
                        <w:t>Publicado</w:t>
                      </w:r>
                      <w:r>
                        <w:br/>
                        <w:t>el 13 de febrero de 2018</w:t>
                      </w:r>
                    </w:p>
                  </w:txbxContent>
                </v:textbox>
              </v:shape>
            </w:pict>
          </mc:Fallback>
        </mc:AlternateContent>
      </w:r>
    </w:p>
    <w:p w:rsidR="00551E3F" w:rsidRDefault="00DB4B0C" w:rsidP="00DA5828">
      <w:pPr>
        <w:spacing w:before="240" w:after="240" w:line="216" w:lineRule="auto"/>
        <w:ind w:left="0" w:firstLine="0"/>
        <w:jc w:val="left"/>
      </w:pPr>
      <w:r>
        <w:rPr>
          <w:b/>
          <w:sz w:val="26"/>
        </w:rPr>
        <w:t>Ordenanza</w:t>
      </w:r>
      <w:r>
        <w:rPr>
          <w:b/>
          <w:sz w:val="26"/>
        </w:rPr>
        <w:br/>
        <w:t>por la que se modifica la Ordenanza relativa a los productos químicos (prohibiciones de manipulación, importación y exportación) (1998:944);</w:t>
      </w:r>
    </w:p>
    <w:p w:rsidR="00551E3F" w:rsidRDefault="00CC49D7" w:rsidP="00DA5828">
      <w:pPr>
        <w:spacing w:after="221"/>
        <w:ind w:left="0" w:firstLine="0"/>
      </w:pPr>
      <w:r>
        <w:t>emitida el 1 de febrero de 2018.</w:t>
      </w:r>
    </w:p>
    <w:p w:rsidR="00551E3F" w:rsidRDefault="00CC49D7" w:rsidP="00015EA3">
      <w:pPr>
        <w:spacing w:after="240"/>
        <w:ind w:left="0" w:firstLine="193"/>
      </w:pPr>
      <w:r>
        <w:t xml:space="preserve">En relación con la Ordenanza (1998:944) relativa a los productos químicos (prohibiciones de manipulación, importación y exportación), el Gobierno establece </w:t>
      </w:r>
      <w:r>
        <w:rPr>
          <w:vertAlign w:val="superscript"/>
        </w:rPr>
        <w:footnoteReference w:id="1"/>
      </w:r>
      <w:r>
        <w:t xml:space="preserve">, en primer lugar, que los artículos 1 y 5 tengan la redacción que se indica a continuación y, en segundo lugar, que los siguientes nuevos artículos indicados a continuación (artículo 1 </w:t>
      </w:r>
      <w:r>
        <w:rPr>
          <w:i/>
        </w:rPr>
        <w:t>bis</w:t>
      </w:r>
      <w:r>
        <w:t xml:space="preserve">, artículo 4, incluido el subtítulo precedente, y artículos 4 a 4 </w:t>
      </w:r>
      <w:r>
        <w:rPr>
          <w:i/>
        </w:rPr>
        <w:t>ter</w:t>
      </w:r>
      <w:r>
        <w:t>) se incluyan en la Ordenanza.</w:t>
      </w:r>
    </w:p>
    <w:p w:rsidR="00551E3F" w:rsidRDefault="00CC49D7" w:rsidP="00DA5828">
      <w:pPr>
        <w:keepNext/>
        <w:keepLines/>
        <w:ind w:left="0" w:firstLine="0"/>
      </w:pPr>
      <w:r>
        <w:rPr>
          <w:b/>
        </w:rPr>
        <w:t>Artículo 1</w:t>
      </w:r>
      <w:r>
        <w:rPr>
          <w:vertAlign w:val="superscript"/>
        </w:rPr>
        <w:footnoteReference w:id="2"/>
      </w:r>
      <w:r w:rsidR="004145DA">
        <w:rPr>
          <w:b/>
        </w:rPr>
        <w:t>.</w:t>
      </w:r>
      <w:r>
        <w:t xml:space="preserve"> La presente Ordenanza contiene disposiciones específicas relativas a la prohibición o a otras restricciones sobre la gestión de: 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epoxi de dos componentes que contiene bisfenol A o bisfenol A diglicidil éter;</w:t>
      </w:r>
    </w:p>
    <w:p w:rsidR="00551E3F" w:rsidRDefault="00CC49D7" w:rsidP="00015EA3">
      <w:pPr>
        <w:numPr>
          <w:ilvl w:val="0"/>
          <w:numId w:val="1"/>
        </w:numPr>
        <w:tabs>
          <w:tab w:val="left" w:pos="567"/>
        </w:tabs>
        <w:ind w:left="0" w:firstLine="192"/>
      </w:pPr>
      <w:r>
        <w:t>cadmio;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microplásticos en productos cosméticos;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disolventes clorados;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mercurio;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cadmio y mercurio en pilas;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metales pesados en envases;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munición que contenga plomo;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detergentes con contenido en fosfatos; y</w:t>
      </w:r>
    </w:p>
    <w:p w:rsidR="00551E3F" w:rsidRDefault="00CC49D7" w:rsidP="00015EA3">
      <w:pPr>
        <w:numPr>
          <w:ilvl w:val="0"/>
          <w:numId w:val="1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>otros productos químicos y mercancías peligrosos para la salud o el medioambiente.</w:t>
      </w:r>
    </w:p>
    <w:p w:rsidR="00551E3F" w:rsidRDefault="00CC49D7" w:rsidP="00015EA3">
      <w:pPr>
        <w:spacing w:after="249"/>
        <w:ind w:left="0" w:firstLine="192"/>
      </w:pPr>
      <w:r>
        <w:t>La presente Ordenanza no se aplica a productos químicos y organismos biotécnicos gobernados por la Ley (2006:804) de alimentación, la Ley (2006:805) sobre piensos y subproductos animales o la Ley (2015:315) sobre productos medicinales.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lastRenderedPageBreak/>
        <w:t>Artículo 1 </w:t>
      </w:r>
      <w:r>
        <w:rPr>
          <w:b/>
          <w:i/>
        </w:rPr>
        <w:t>bis</w:t>
      </w:r>
      <w:r w:rsidR="004145DA">
        <w:rPr>
          <w:b/>
          <w:i/>
        </w:rPr>
        <w:t>.</w:t>
      </w:r>
      <w:r>
        <w:t xml:space="preserve"> La presente Ordenanza se emite en virtud del: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capítulo 14, artículo 8, del Código Medioambiental con respecto a los artículos 2 a 3, 5 a 11, 11 </w:t>
      </w:r>
      <w:r>
        <w:rPr>
          <w:i/>
        </w:rPr>
        <w:t>quater</w:t>
      </w:r>
      <w:r>
        <w:t xml:space="preserve"> a 14, y 14 </w:t>
      </w:r>
      <w:r>
        <w:rPr>
          <w:i/>
        </w:rPr>
        <w:t>ter</w:t>
      </w:r>
      <w:r>
        <w:t xml:space="preserve"> a 20 </w:t>
      </w:r>
      <w:r>
        <w:rPr>
          <w:i/>
        </w:rPr>
        <w:t>bis</w:t>
      </w:r>
      <w:r>
        <w:t>,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 xml:space="preserve">capítulo 15, artículo 40, del Código Medioambiental con respecto al artículo 4 </w:t>
      </w:r>
      <w:r>
        <w:rPr>
          <w:i/>
        </w:rPr>
        <w:t>bis</w:t>
      </w:r>
      <w:r>
        <w:t xml:space="preserve">, 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capítulo 8, artículo 11, del Instrumento del Gobierno con respecto al artículo 21, y</w:t>
      </w:r>
    </w:p>
    <w:p w:rsidR="00551E3F" w:rsidRDefault="00CC49D7" w:rsidP="007058F2">
      <w:pPr>
        <w:numPr>
          <w:ilvl w:val="0"/>
          <w:numId w:val="2"/>
        </w:numPr>
        <w:pBdr>
          <w:left w:val="single" w:sz="4" w:space="4" w:color="auto"/>
        </w:pBdr>
        <w:ind w:left="426" w:hanging="285"/>
      </w:pPr>
      <w:r>
        <w:t>capítulo 8, artículo 7, del Instrumento del Gobierno en relación con otras disposiciones.</w:t>
      </w:r>
    </w:p>
    <w:p w:rsidR="00551E3F" w:rsidRDefault="00CC49D7" w:rsidP="00DA5828">
      <w:pPr>
        <w:pStyle w:val="Heading1"/>
        <w:pBdr>
          <w:left w:val="single" w:sz="4" w:space="4" w:color="auto"/>
        </w:pBdr>
        <w:ind w:left="0"/>
      </w:pPr>
      <w:r>
        <w:t>Microplásticos en productos cosméticos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>Artículo 4</w:t>
      </w:r>
      <w:r>
        <w:rPr>
          <w:vertAlign w:val="superscript"/>
        </w:rPr>
        <w:footnoteReference w:id="3"/>
      </w:r>
      <w:r w:rsidR="004145DA">
        <w:rPr>
          <w:b/>
        </w:rPr>
        <w:t>.</w:t>
      </w:r>
      <w:r>
        <w:t xml:space="preserve"> A efectos del artículo 4 </w:t>
      </w:r>
      <w:r>
        <w:rPr>
          <w:i/>
        </w:rPr>
        <w:t>bis</w:t>
      </w:r>
      <w:r>
        <w:t xml:space="preserve"> y artículo 4 </w:t>
      </w:r>
      <w:r>
        <w:rPr>
          <w:i/>
        </w:rPr>
        <w:t>ter</w:t>
      </w:r>
      <w:r>
        <w:t xml:space="preserve">, se entenderá por </w:t>
      </w:r>
      <w:r>
        <w:rPr>
          <w:i/>
        </w:rPr>
        <w:t>«producto cosmético»</w:t>
      </w:r>
      <w:r>
        <w:t xml:space="preserve">: un producto cosmético en el sentido del Reglamento (CE) n.º 1223/2009 del Parlamento Europeo y el Consejo sobre los productos cosméticos,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 xml:space="preserve">«plástico»: </w:t>
      </w:r>
      <w:r>
        <w:t xml:space="preserve">un polímero en el sentido del artículo 3, apartado 5, del Reglamento (CE) n.º 1907/2006 del Parlamento Europeo y del Consejo, de 18 de diciembre de 2006, relativo al registro, la evaluación, la autorización y la restricción de las sustancias y preparados químicos (REACH), por el que se crea la Agencia Europea de Sustancias y Preparados Químicos, se modifica la Directiva 1999/45/CE y se derogan el Reglamento (CEE) n.º 793/93 del Consejo y el Reglamento (CE) n.º 1488/94 de la Comisión así como la Directiva 76/769/CEE del Consejo y las Directivas 91/155/CEE, 93/67/CEE, 93/105/CE y 2000/21/CE, al que pueden haberse añadido aditivos u otras sustancias, </w:t>
      </w:r>
      <w:r>
        <w:rPr>
          <w:i/>
        </w:rPr>
        <w:t xml:space="preserve"> «microplásticos»</w:t>
      </w:r>
      <w:r>
        <w:t xml:space="preserve">: partículas plásticas sólidas menores de 5 mm e insolubles en agua, </w:t>
      </w:r>
    </w:p>
    <w:p w:rsidR="008062AA" w:rsidRDefault="00CC49D7" w:rsidP="008062AA">
      <w:pPr>
        <w:pBdr>
          <w:left w:val="single" w:sz="4" w:space="4" w:color="auto"/>
        </w:pBdr>
        <w:spacing w:after="0"/>
        <w:ind w:left="0" w:firstLine="193"/>
      </w:pPr>
      <w:r>
        <w:rPr>
          <w:i/>
        </w:rPr>
        <w:t>«polímeros presentes de forma natural»</w:t>
      </w:r>
      <w:r>
        <w:t>: polímero presente de forma natural en el medioambiente y cuya estructura química no se ha visto alterada tras haber sido sometida a un proceso o tratamiento químico o a una transformación física mineralógica,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rPr>
          <w:i/>
        </w:rPr>
        <w:t>«comercialización»</w:t>
      </w:r>
      <w:r>
        <w:t>: cada vez que un producto se pone a disposición para su distribución, consumo o uso en el mercado sueco durante una actividad comercial, ya sea a cambio de dinero o a título gratuito.</w:t>
      </w:r>
    </w:p>
    <w:p w:rsidR="00551E3F" w:rsidRDefault="00CC49D7" w:rsidP="00DA5828">
      <w:pPr>
        <w:pBdr>
          <w:left w:val="single" w:sz="4" w:space="4" w:color="auto"/>
        </w:pBdr>
        <w:ind w:left="0" w:firstLine="0"/>
      </w:pPr>
      <w:r>
        <w:rPr>
          <w:b/>
        </w:rPr>
        <w:t xml:space="preserve">Artículo 4 </w:t>
      </w:r>
      <w:r>
        <w:rPr>
          <w:b/>
          <w:i/>
        </w:rPr>
        <w:t>bis</w:t>
      </w:r>
      <w:r>
        <w:rPr>
          <w:vertAlign w:val="superscript"/>
        </w:rPr>
        <w:footnoteReference w:id="4"/>
      </w:r>
      <w:r w:rsidR="004145DA">
        <w:rPr>
          <w:b/>
          <w:i/>
        </w:rPr>
        <w:t>.</w:t>
      </w:r>
      <w:r>
        <w:t xml:space="preserve"> Queda prohibida la comercialización de un producto cosmético destinado a ser enjuagado o retirado tras haber sido usado en la cabeza, cabello, membranas mucosas o dientes, y que contenga microplásticos añadidos para limpiar, exfoliar o pulir.</w:t>
      </w:r>
    </w:p>
    <w:p w:rsidR="00551E3F" w:rsidRDefault="00CC49D7" w:rsidP="007058F2">
      <w:pPr>
        <w:pBdr>
          <w:left w:val="single" w:sz="4" w:space="4" w:color="auto"/>
        </w:pBdr>
        <w:spacing w:after="232"/>
        <w:ind w:left="0" w:firstLine="192"/>
      </w:pPr>
      <w:r>
        <w:t xml:space="preserve">La prohibición no se aplicará a productos cosméticos que contengan microplásticos compuestos únicamente por polímeros presentes de forma natural. </w:t>
      </w:r>
    </w:p>
    <w:p w:rsidR="00551E3F" w:rsidRDefault="00CC49D7" w:rsidP="00DA5828">
      <w:pPr>
        <w:keepNext/>
        <w:keepLines/>
        <w:pBdr>
          <w:left w:val="single" w:sz="4" w:space="4" w:color="auto"/>
        </w:pBdr>
        <w:ind w:left="0" w:firstLine="0"/>
      </w:pPr>
      <w:r>
        <w:rPr>
          <w:b/>
        </w:rPr>
        <w:lastRenderedPageBreak/>
        <w:t> Artículo 4 </w:t>
      </w:r>
      <w:r>
        <w:rPr>
          <w:b/>
          <w:i/>
        </w:rPr>
        <w:t>ter</w:t>
      </w:r>
      <w:r>
        <w:rPr>
          <w:vertAlign w:val="superscript"/>
        </w:rPr>
        <w:footnoteReference w:id="5"/>
      </w:r>
      <w:r w:rsidR="004145DA" w:rsidRPr="004145DA">
        <w:rPr>
          <w:b/>
        </w:rPr>
        <w:t>.</w:t>
      </w:r>
      <w:r>
        <w:t xml:space="preserve"> La Agencia Sueca de Productos Químicos podrá notificar reglamentaciones sobre exenciones o, en casos individuales, conceder una exención a la prohibición del artículo 4 </w:t>
      </w:r>
      <w:r>
        <w:rPr>
          <w:i/>
        </w:rPr>
        <w:t>bis</w:t>
      </w:r>
      <w:r>
        <w:t xml:space="preserve"> para productos cosméticos que contengan microplásticos, que: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estén fabricados usando polímeros presentes de forma natural como materia prima; y </w:t>
      </w:r>
    </w:p>
    <w:p w:rsidR="00551E3F" w:rsidRDefault="00CC49D7" w:rsidP="007058F2">
      <w:pPr>
        <w:numPr>
          <w:ilvl w:val="0"/>
          <w:numId w:val="3"/>
        </w:numPr>
        <w:pBdr>
          <w:left w:val="single" w:sz="4" w:space="4" w:color="auto"/>
        </w:pBdr>
        <w:tabs>
          <w:tab w:val="left" w:pos="567"/>
        </w:tabs>
        <w:ind w:left="0" w:firstLine="192"/>
      </w:pPr>
      <w:r>
        <w:t xml:space="preserve">se descompongan rápidamente en monómeros en el medio acuático y no pongan en riesgo a los organismos acuáticos. </w:t>
      </w:r>
    </w:p>
    <w:p w:rsidR="00551E3F" w:rsidRDefault="00CC49D7" w:rsidP="007058F2">
      <w:pPr>
        <w:pBdr>
          <w:left w:val="single" w:sz="4" w:space="4" w:color="auto"/>
        </w:pBdr>
        <w:spacing w:after="231"/>
        <w:ind w:left="0" w:firstLine="192"/>
      </w:pPr>
      <w:r>
        <w:t>Los productos cosméticos vendidos legalmente de conformidad con la legislación en otros Estados miembros de la Unión Europea o Turquía o fabricados legalmente en un Estado signatario del Acuerdo sobre el Espacio Económico Europeo estarán exentos, a condición de que dicho marco normativo prevea un nivel de protección equivalente.</w:t>
      </w:r>
    </w:p>
    <w:p w:rsidR="00551E3F" w:rsidRDefault="00CC49D7" w:rsidP="00DA5828">
      <w:pPr>
        <w:ind w:left="0" w:firstLine="0"/>
      </w:pPr>
      <w:r>
        <w:rPr>
          <w:b/>
        </w:rPr>
        <w:t>Artículo</w:t>
      </w:r>
      <w:r>
        <w:t> </w:t>
      </w:r>
      <w:r>
        <w:rPr>
          <w:b/>
        </w:rPr>
        <w:t>5</w:t>
      </w:r>
      <w:r>
        <w:rPr>
          <w:rStyle w:val="FootnoteReference"/>
          <w:b/>
        </w:rPr>
        <w:footnoteReference w:id="6"/>
      </w:r>
      <w:r w:rsidR="004145DA">
        <w:rPr>
          <w:b/>
        </w:rPr>
        <w:t>.</w:t>
      </w:r>
      <w:r>
        <w:t xml:space="preserve"> Los productos químicos que consistan total o parcialmente en cloruro de metileno o tetracloroetileno no deberán comercializarse o transferirse a los consumidores para uso individual.</w:t>
      </w:r>
    </w:p>
    <w:p w:rsidR="00551E3F" w:rsidRDefault="00CC49D7" w:rsidP="00E812AA">
      <w:pPr>
        <w:spacing w:after="0"/>
        <w:ind w:left="0" w:firstLine="193"/>
      </w:pPr>
      <w:r>
        <w:t>La Agencia Sueca de Productos Químicos podrá emitir reglamentos que establezcan que los bienes que contengan cloruro de metileno o tetracloroetileno no deberán comercializarse o transferirse a los consumidores para uso individual.</w:t>
      </w:r>
    </w:p>
    <w:p w:rsidR="00551E3F" w:rsidRDefault="00CC49D7" w:rsidP="007058F2">
      <w:pPr>
        <w:pBdr>
          <w:left w:val="single" w:sz="4" w:space="4" w:color="auto"/>
        </w:pBdr>
        <w:spacing w:after="241"/>
        <w:ind w:left="0" w:firstLine="192"/>
      </w:pPr>
      <w:r>
        <w:t>La prohibición sobre el cloruro de metileno se aplica únicamente si no existe ya una prohibición equivalente derivada del punto 59.1 del anexo XVII del Reglamento (CE) n.º 1907/2006.</w:t>
      </w:r>
    </w:p>
    <w:p w:rsidR="007058F2" w:rsidRDefault="007058F2" w:rsidP="007058F2">
      <w:pPr>
        <w:tabs>
          <w:tab w:val="left" w:leader="underscore" w:pos="1276"/>
        </w:tabs>
        <w:spacing w:after="120"/>
        <w:ind w:left="0" w:firstLine="142"/>
      </w:pPr>
      <w:r>
        <w:tab/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ind w:left="0" w:firstLine="192"/>
      </w:pPr>
      <w:r>
        <w:t>La presente Ordenanza entrará en vigor el 1 de julio de 2018.</w:t>
      </w:r>
    </w:p>
    <w:p w:rsidR="00551E3F" w:rsidRDefault="00CC49D7" w:rsidP="00E812AA">
      <w:pPr>
        <w:numPr>
          <w:ilvl w:val="0"/>
          <w:numId w:val="4"/>
        </w:numPr>
        <w:tabs>
          <w:tab w:val="left" w:pos="567"/>
        </w:tabs>
        <w:spacing w:after="224"/>
        <w:ind w:left="0" w:firstLine="192"/>
      </w:pPr>
      <w:r>
        <w:t xml:space="preserve">A pesar de la prohibición estipulada en el artículo 4 </w:t>
      </w:r>
      <w:r>
        <w:rPr>
          <w:i/>
        </w:rPr>
        <w:t>bis</w:t>
      </w:r>
      <w:r>
        <w:t xml:space="preserve">, las existencias actuales de productos cosméticos comercializadas legalmente antes del 1 de julio de 2018 continuarán estando disponibles hasta el final de diciembre de 2018. </w:t>
      </w:r>
    </w:p>
    <w:p w:rsidR="00551E3F" w:rsidRDefault="00CC49D7" w:rsidP="00DA5828">
      <w:pPr>
        <w:spacing w:after="225"/>
        <w:ind w:left="0" w:firstLine="0"/>
      </w:pPr>
      <w:r>
        <w:t>En nombre del Gobierno</w:t>
      </w:r>
    </w:p>
    <w:p w:rsidR="00551E3F" w:rsidRDefault="00CC49D7" w:rsidP="00DA5828">
      <w:pPr>
        <w:ind w:left="0" w:firstLine="0"/>
      </w:pPr>
      <w:r>
        <w:t>KAROLINA SKOG</w:t>
      </w:r>
    </w:p>
    <w:p w:rsidR="00551E3F" w:rsidRDefault="00CC49D7" w:rsidP="00825642">
      <w:pPr>
        <w:keepNext/>
        <w:keepLines/>
        <w:spacing w:after="0" w:line="265" w:lineRule="auto"/>
        <w:ind w:left="2835" w:firstLine="0"/>
        <w:jc w:val="left"/>
      </w:pPr>
      <w:r>
        <w:t>Egon Abresparr</w:t>
      </w:r>
    </w:p>
    <w:p w:rsidR="00551E3F" w:rsidRDefault="00CC49D7" w:rsidP="00825642">
      <w:pPr>
        <w:spacing w:after="0" w:line="264" w:lineRule="auto"/>
        <w:ind w:left="2835" w:firstLine="0"/>
        <w:jc w:val="left"/>
      </w:pPr>
      <w:r>
        <w:t>(Ministerio de Medio Ambiente y Energía)</w:t>
      </w:r>
    </w:p>
    <w:p w:rsidR="007058F2" w:rsidRPr="004145DA" w:rsidRDefault="00CC49D7" w:rsidP="00651E3A">
      <w:pPr>
        <w:pageBreakBefore/>
        <w:spacing w:before="10920" w:after="0" w:line="259" w:lineRule="auto"/>
        <w:ind w:left="0" w:firstLine="0"/>
        <w:jc w:val="right"/>
        <w:rPr>
          <w:sz w:val="11"/>
          <w:lang w:val="en-US"/>
        </w:rPr>
      </w:pPr>
      <w:r w:rsidRPr="004145DA">
        <w:rPr>
          <w:sz w:val="11"/>
          <w:lang w:val="en-US"/>
        </w:rPr>
        <w:t>Norstedts Juridik AB</w:t>
      </w:r>
      <w:bookmarkStart w:id="0" w:name="_GoBack"/>
      <w:bookmarkEnd w:id="0"/>
    </w:p>
    <w:p w:rsidR="00551E3F" w:rsidRPr="004145DA" w:rsidRDefault="00CC49D7" w:rsidP="007058F2">
      <w:pPr>
        <w:spacing w:after="0" w:line="259" w:lineRule="auto"/>
        <w:ind w:left="0" w:firstLine="0"/>
        <w:jc w:val="right"/>
        <w:rPr>
          <w:sz w:val="11"/>
          <w:lang w:val="en-US"/>
        </w:rPr>
      </w:pPr>
      <w:r w:rsidRPr="004145DA">
        <w:rPr>
          <w:sz w:val="11"/>
          <w:lang w:val="en-US"/>
        </w:rPr>
        <w:t>Elanders Sverige AB, 2018</w:t>
      </w:r>
    </w:p>
    <w:sectPr w:rsidR="00551E3F" w:rsidRPr="004145DA" w:rsidSect="00E812AA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9354" w:h="13720"/>
      <w:pgMar w:top="680" w:right="2353" w:bottom="1361" w:left="1134" w:header="720" w:footer="720" w:gutter="0"/>
      <w:cols w:space="720"/>
      <w:titlePg/>
      <w:docGrid w:linePitch="2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717A" w:rsidRDefault="004B717A">
      <w:pPr>
        <w:spacing w:after="0" w:line="240" w:lineRule="auto"/>
      </w:pPr>
      <w:r>
        <w:separator/>
      </w:r>
    </w:p>
  </w:endnote>
  <w:endnote w:type="continuationSeparator" w:id="0">
    <w:p w:rsidR="004B717A" w:rsidRDefault="004B7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-1276" w:firstLine="0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7D171F"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766BB">
      <w:rPr>
        <w:noProof/>
      </w:rPr>
      <w:t>3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58F2" w:rsidRDefault="007058F2" w:rsidP="007058F2">
    <w:pPr>
      <w:pStyle w:val="Footer"/>
      <w:tabs>
        <w:tab w:val="clear" w:pos="4320"/>
      </w:tabs>
      <w:ind w:left="0" w:right="-1221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145DA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717A" w:rsidRDefault="004B717A" w:rsidP="00E812AA">
      <w:pPr>
        <w:spacing w:after="0" w:line="230" w:lineRule="auto"/>
        <w:ind w:left="0" w:right="1837" w:firstLine="0"/>
      </w:pPr>
      <w:r>
        <w:separator/>
      </w:r>
    </w:p>
  </w:footnote>
  <w:footnote w:type="continuationSeparator" w:id="0">
    <w:p w:rsidR="004B717A" w:rsidRDefault="004B717A">
      <w:pPr>
        <w:spacing w:after="0" w:line="230" w:lineRule="auto"/>
        <w:ind w:left="412" w:right="1837" w:firstLine="0"/>
      </w:pPr>
      <w:r>
        <w:continuationSeparator/>
      </w:r>
    </w:p>
  </w:footnote>
  <w:footnote w:id="1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Véase la Directiva (UE) 2015/1535 del Parlamento Europeo y del Consejo, de 9 de septiembre de 2015, por la que se establece un procedimiento de información en materia de reglamentaciones técnicas y de reglas relativas a los servicios de la sociedad de la información.</w:t>
      </w:r>
    </w:p>
  </w:footnote>
  <w:footnote w:id="2">
    <w:p w:rsidR="00551E3F" w:rsidRPr="00E812AA" w:rsidRDefault="00CC49D7" w:rsidP="00E812AA">
      <w:pPr>
        <w:pStyle w:val="footnotedescription"/>
        <w:tabs>
          <w:tab w:val="center" w:pos="1348"/>
          <w:tab w:val="right" w:pos="8146"/>
        </w:tabs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Última redacción 2016:829.</w:t>
      </w:r>
    </w:p>
  </w:footnote>
  <w:footnote w:id="3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El anterior artículo 4 quedó derogado a través de la Ley 2009:954.</w:t>
      </w:r>
    </w:p>
  </w:footnote>
  <w:footnote w:id="4">
    <w:p w:rsidR="00551E3F" w:rsidRPr="00E812AA" w:rsidRDefault="00CC49D7" w:rsidP="00E812AA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Versión anterior del artículo 4 </w:t>
      </w:r>
      <w:r>
        <w:rPr>
          <w:i/>
        </w:rPr>
        <w:t>bis</w:t>
      </w:r>
      <w:r>
        <w:t>, sustituida por 2008:255.</w:t>
      </w:r>
    </w:p>
  </w:footnote>
  <w:footnote w:id="5">
    <w:p w:rsidR="00551E3F" w:rsidRPr="00E812AA" w:rsidRDefault="00CC49D7" w:rsidP="00825642">
      <w:pPr>
        <w:pStyle w:val="footnotedescription"/>
        <w:spacing w:line="240" w:lineRule="auto"/>
        <w:ind w:left="0"/>
        <w:jc w:val="both"/>
        <w:rPr>
          <w:szCs w:val="17"/>
        </w:rPr>
      </w:pPr>
      <w:r>
        <w:rPr>
          <w:rStyle w:val="footnotemark"/>
        </w:rPr>
        <w:footnoteRef/>
      </w:r>
      <w:r>
        <w:t xml:space="preserve"> Versión anterior del artículo 4 </w:t>
      </w:r>
      <w:r>
        <w:rPr>
          <w:i/>
        </w:rPr>
        <w:t>ter</w:t>
      </w:r>
      <w:r>
        <w:t>, sustituida por 2008:255.</w:t>
      </w:r>
    </w:p>
  </w:footnote>
  <w:footnote w:id="6">
    <w:p w:rsidR="00E812AA" w:rsidRPr="00E812AA" w:rsidRDefault="00E812AA" w:rsidP="00825642">
      <w:pPr>
        <w:pStyle w:val="footnotedescription"/>
        <w:spacing w:line="240" w:lineRule="auto"/>
        <w:ind w:left="0"/>
        <w:jc w:val="both"/>
        <w:rPr>
          <w:rFonts w:eastAsia="SimSun"/>
          <w:szCs w:val="17"/>
          <w:lang w:eastAsia="zh-CN"/>
        </w:rPr>
      </w:pPr>
      <w:r>
        <w:rPr>
          <w:vertAlign w:val="superscript"/>
        </w:rPr>
        <w:footnoteRef/>
      </w:r>
      <w:r>
        <w:t xml:space="preserve"> Última redacción 2016:144.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Default="00643102" w:rsidP="00E812AA">
    <w:pPr>
      <w:pStyle w:val="Header"/>
      <w:ind w:left="0" w:firstLine="0"/>
    </w:pPr>
    <w:r>
      <w:rPr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-1273810</wp:posOffset>
              </wp:positionH>
              <wp:positionV relativeFrom="paragraph">
                <wp:posOffset>104775</wp:posOffset>
              </wp:positionV>
              <wp:extent cx="1143000" cy="457200"/>
              <wp:effectExtent l="127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 w:rsidP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 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-100.3pt;margin-top:8.2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" stroked="f">
              <v:textbox>
                <w:txbxContent>
                  <w:p w:rsidR="00E812AA" w:rsidRPr="00E812AA" w:rsidRDefault="00E812AA" w:rsidP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>SFS 2018:55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12AA" w:rsidRPr="00E812AA" w:rsidRDefault="00643102" w:rsidP="00E812AA">
    <w:pPr>
      <w:pStyle w:val="Header"/>
      <w:ind w:left="-1701" w:firstLine="0"/>
      <w:rPr>
        <w:b/>
      </w:rPr>
    </w:pPr>
    <w:r>
      <w:rPr>
        <w:b/>
        <w:noProof/>
        <w:lang w:val="en-US" w:eastAsia="zh-CN" w:bidi="ar-S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3977005</wp:posOffset>
              </wp:positionH>
              <wp:positionV relativeFrom="paragraph">
                <wp:posOffset>114300</wp:posOffset>
              </wp:positionV>
              <wp:extent cx="1143000" cy="457200"/>
              <wp:effectExtent l="127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12AA" w:rsidRPr="00E812AA" w:rsidRDefault="00E812AA">
                          <w:pPr>
                            <w:ind w:left="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SFS 2018:55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left:0;text-align:left;margin-left:313.15pt;margin-top:9pt;width:90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" stroked="f">
              <v:textbox>
                <w:txbxContent>
                  <w:p w:rsidR="00E812AA" w:rsidRPr="00E812AA" w:rsidRDefault="00E812AA">
                    <w:pPr>
                      <w:ind w:left="0"/>
                      <w:rPr>
                        <w:b/>
                      </w:rPr>
                    </w:pPr>
                    <w:r>
                      <w:rPr>
                        <w:b/>
                      </w:rPr>
                      <w:t>SFS 2018:55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1338C0"/>
    <w:multiLevelType w:val="hybridMultilevel"/>
    <w:tmpl w:val="B5A2AEDA"/>
    <w:lvl w:ilvl="0" w:tplc="88E671A2">
      <w:start w:val="1"/>
      <w:numFmt w:val="decimal"/>
      <w:lvlText w:val="%1."/>
      <w:lvlJc w:val="left"/>
      <w:pPr>
        <w:ind w:left="4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D46E0632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D7A40B8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394EE1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CCADB1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04FEE712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1A8E30C6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658C012C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51661DFE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C5A280A"/>
    <w:multiLevelType w:val="hybridMultilevel"/>
    <w:tmpl w:val="2C760074"/>
    <w:lvl w:ilvl="0" w:tplc="04090011">
      <w:start w:val="1"/>
      <w:numFmt w:val="decimal"/>
      <w:lvlText w:val="%1)"/>
      <w:lvlJc w:val="left"/>
      <w:pPr>
        <w:ind w:left="397"/>
      </w:pPr>
      <w:rPr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96AEBAC">
      <w:start w:val="1"/>
      <w:numFmt w:val="lowerLetter"/>
      <w:lvlText w:val="%2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CF4072B4">
      <w:start w:val="1"/>
      <w:numFmt w:val="lowerRoman"/>
      <w:lvlText w:val="%3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7328C18">
      <w:start w:val="1"/>
      <w:numFmt w:val="decimal"/>
      <w:lvlText w:val="%4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111A8B98">
      <w:start w:val="1"/>
      <w:numFmt w:val="lowerLetter"/>
      <w:lvlText w:val="%5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8F27A06">
      <w:start w:val="1"/>
      <w:numFmt w:val="lowerRoman"/>
      <w:lvlText w:val="%6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DD34AC36">
      <w:start w:val="1"/>
      <w:numFmt w:val="decimal"/>
      <w:lvlText w:val="%7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0AB04680">
      <w:start w:val="1"/>
      <w:numFmt w:val="lowerLetter"/>
      <w:lvlText w:val="%8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054686E0">
      <w:start w:val="1"/>
      <w:numFmt w:val="lowerRoman"/>
      <w:lvlText w:val="%9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ADA0C50"/>
    <w:multiLevelType w:val="hybridMultilevel"/>
    <w:tmpl w:val="26107D60"/>
    <w:lvl w:ilvl="0" w:tplc="48B6FFAE">
      <w:start w:val="1"/>
      <w:numFmt w:val="bullet"/>
      <w:lvlText w:val="–"/>
      <w:lvlJc w:val="left"/>
      <w:pPr>
        <w:ind w:left="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40E3F8C">
      <w:start w:val="1"/>
      <w:numFmt w:val="bullet"/>
      <w:lvlText w:val="o"/>
      <w:lvlJc w:val="left"/>
      <w:pPr>
        <w:ind w:left="12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687E1362">
      <w:start w:val="1"/>
      <w:numFmt w:val="bullet"/>
      <w:lvlText w:val="▪"/>
      <w:lvlJc w:val="left"/>
      <w:pPr>
        <w:ind w:left="19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0AD4C1CC">
      <w:start w:val="1"/>
      <w:numFmt w:val="bullet"/>
      <w:lvlText w:val="•"/>
      <w:lvlJc w:val="left"/>
      <w:pPr>
        <w:ind w:left="27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359AC512">
      <w:start w:val="1"/>
      <w:numFmt w:val="bullet"/>
      <w:lvlText w:val="o"/>
      <w:lvlJc w:val="left"/>
      <w:pPr>
        <w:ind w:left="34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C1CE9388">
      <w:start w:val="1"/>
      <w:numFmt w:val="bullet"/>
      <w:lvlText w:val="▪"/>
      <w:lvlJc w:val="left"/>
      <w:pPr>
        <w:ind w:left="4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60369006">
      <w:start w:val="1"/>
      <w:numFmt w:val="bullet"/>
      <w:lvlText w:val="•"/>
      <w:lvlJc w:val="left"/>
      <w:pPr>
        <w:ind w:left="48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A434DA78">
      <w:start w:val="1"/>
      <w:numFmt w:val="bullet"/>
      <w:lvlText w:val="o"/>
      <w:lvlJc w:val="left"/>
      <w:pPr>
        <w:ind w:left="55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E9F89080">
      <w:start w:val="1"/>
      <w:numFmt w:val="bullet"/>
      <w:lvlText w:val="▪"/>
      <w:lvlJc w:val="left"/>
      <w:pPr>
        <w:ind w:left="63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B568C1"/>
    <w:multiLevelType w:val="hybridMultilevel"/>
    <w:tmpl w:val="183E5B58"/>
    <w:lvl w:ilvl="0" w:tplc="A8D8D61A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1E6A0EA8">
      <w:start w:val="1"/>
      <w:numFmt w:val="lowerLetter"/>
      <w:lvlText w:val="%2"/>
      <w:lvlJc w:val="left"/>
      <w:pPr>
        <w:ind w:left="3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8110D80A">
      <w:start w:val="1"/>
      <w:numFmt w:val="lowerRoman"/>
      <w:lvlText w:val="%3"/>
      <w:lvlJc w:val="left"/>
      <w:pPr>
        <w:ind w:left="3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8AC4E194">
      <w:start w:val="1"/>
      <w:numFmt w:val="decimal"/>
      <w:lvlText w:val="%4"/>
      <w:lvlJc w:val="left"/>
      <w:pPr>
        <w:ind w:left="4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64BAC7B0">
      <w:start w:val="1"/>
      <w:numFmt w:val="lowerLetter"/>
      <w:lvlText w:val="%5"/>
      <w:lvlJc w:val="left"/>
      <w:pPr>
        <w:ind w:left="5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F05078">
      <w:start w:val="1"/>
      <w:numFmt w:val="lowerRoman"/>
      <w:lvlText w:val="%6"/>
      <w:lvlJc w:val="left"/>
      <w:pPr>
        <w:ind w:left="5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7916C030">
      <w:start w:val="1"/>
      <w:numFmt w:val="decimal"/>
      <w:lvlText w:val="%7"/>
      <w:lvlJc w:val="left"/>
      <w:pPr>
        <w:ind w:left="6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77126992">
      <w:start w:val="1"/>
      <w:numFmt w:val="lowerLetter"/>
      <w:lvlText w:val="%8"/>
      <w:lvlJc w:val="left"/>
      <w:pPr>
        <w:ind w:left="7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64FC789A">
      <w:start w:val="1"/>
      <w:numFmt w:val="lowerRoman"/>
      <w:lvlText w:val="%9"/>
      <w:lvlJc w:val="left"/>
      <w:pPr>
        <w:ind w:left="8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1304"/>
  <w:hyphenationZone w:val="425"/>
  <w:doNotHyphenateCaps/>
  <w:evenAndOddHeaders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E3F"/>
    <w:rsid w:val="00015EA3"/>
    <w:rsid w:val="001716B1"/>
    <w:rsid w:val="00215ED8"/>
    <w:rsid w:val="004145DA"/>
    <w:rsid w:val="004707E8"/>
    <w:rsid w:val="004B717A"/>
    <w:rsid w:val="00551E3F"/>
    <w:rsid w:val="00643102"/>
    <w:rsid w:val="00651E3A"/>
    <w:rsid w:val="007058F2"/>
    <w:rsid w:val="007154F6"/>
    <w:rsid w:val="00793620"/>
    <w:rsid w:val="007D171F"/>
    <w:rsid w:val="007D7823"/>
    <w:rsid w:val="008062AA"/>
    <w:rsid w:val="00825642"/>
    <w:rsid w:val="008802E6"/>
    <w:rsid w:val="008B7F39"/>
    <w:rsid w:val="00943D0F"/>
    <w:rsid w:val="00952D25"/>
    <w:rsid w:val="009766BB"/>
    <w:rsid w:val="00A065E3"/>
    <w:rsid w:val="00CC49D7"/>
    <w:rsid w:val="00DA5828"/>
    <w:rsid w:val="00DB4B0C"/>
    <w:rsid w:val="00E81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5:docId w15:val="{6F117386-FD52-40CE-9834-BBBB910A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es-ES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2" w:lineRule="auto"/>
      <w:ind w:left="422" w:hanging="10"/>
      <w:jc w:val="both"/>
    </w:pPr>
    <w:rPr>
      <w:rFonts w:ascii="Times New Roman" w:hAnsi="Times New Roman"/>
      <w:color w:val="000000"/>
      <w:sz w:val="19"/>
      <w:szCs w:val="22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79" w:line="259" w:lineRule="auto"/>
      <w:ind w:left="11"/>
      <w:outlineLvl w:val="0"/>
    </w:pPr>
    <w:rPr>
      <w:rFonts w:ascii="Times New Roman" w:hAnsi="Times New Roman"/>
      <w:b/>
      <w:color w:val="000000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1"/>
    </w:rPr>
  </w:style>
  <w:style w:type="paragraph" w:customStyle="1" w:styleId="footnotedescription">
    <w:name w:val="footnote description"/>
    <w:next w:val="Normal"/>
    <w:link w:val="footnotedescriptionChar"/>
    <w:hidden/>
    <w:pPr>
      <w:spacing w:line="259" w:lineRule="auto"/>
      <w:ind w:left="1111"/>
    </w:pPr>
    <w:rPr>
      <w:rFonts w:ascii="Times New Roman" w:hAnsi="Times New Roman"/>
      <w:color w:val="000000"/>
      <w:sz w:val="17"/>
      <w:szCs w:val="22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17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17"/>
      <w:vertAlign w:val="superscript"/>
    </w:rPr>
  </w:style>
  <w:style w:type="paragraph" w:customStyle="1" w:styleId="RKbas">
    <w:name w:val="RKbas"/>
    <w:link w:val="RKbasChar"/>
    <w:uiPriority w:val="11"/>
    <w:semiHidden/>
    <w:rsid w:val="00DB4B0C"/>
    <w:rPr>
      <w:rFonts w:ascii="Times New Roman" w:eastAsia="SimSun" w:hAnsi="Times New Roman"/>
      <w:szCs w:val="22"/>
    </w:rPr>
  </w:style>
  <w:style w:type="character" w:customStyle="1" w:styleId="RKbasChar">
    <w:name w:val="RKbas Char"/>
    <w:link w:val="RKbas"/>
    <w:uiPriority w:val="11"/>
    <w:semiHidden/>
    <w:rsid w:val="00DB4B0C"/>
    <w:rPr>
      <w:rFonts w:ascii="Times New Roman" w:eastAsia="SimSun" w:hAnsi="Times New Roman"/>
      <w:szCs w:val="22"/>
      <w:lang w:val="es-ES"/>
    </w:rPr>
  </w:style>
  <w:style w:type="paragraph" w:styleId="BodyText">
    <w:name w:val="Body Text"/>
    <w:basedOn w:val="RKbas"/>
    <w:next w:val="BodyTextIndent"/>
    <w:link w:val="BodyTextChar"/>
    <w:qFormat/>
    <w:rsid w:val="00DB4B0C"/>
    <w:pPr>
      <w:tabs>
        <w:tab w:val="left" w:pos="227"/>
        <w:tab w:val="left" w:pos="397"/>
        <w:tab w:val="left" w:pos="3062"/>
      </w:tabs>
      <w:spacing w:line="232" w:lineRule="exact"/>
      <w:jc w:val="both"/>
    </w:pPr>
    <w:rPr>
      <w:sz w:val="19"/>
    </w:rPr>
  </w:style>
  <w:style w:type="character" w:customStyle="1" w:styleId="BodyTextChar">
    <w:name w:val="Body Text Char"/>
    <w:link w:val="BodyText"/>
    <w:rsid w:val="00DB4B0C"/>
    <w:rPr>
      <w:rFonts w:ascii="Times New Roman" w:eastAsia="SimSun" w:hAnsi="Times New Roman"/>
      <w:sz w:val="19"/>
      <w:szCs w:val="22"/>
      <w:lang w:val="es-E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B4B0C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DB4B0C"/>
    <w:rPr>
      <w:rFonts w:ascii="Times New Roman" w:hAnsi="Times New Roman"/>
      <w:color w:val="000000"/>
      <w:sz w:val="19"/>
      <w:szCs w:val="22"/>
      <w:lang w:val="es-ES" w:eastAsia="es-ES"/>
    </w:rPr>
  </w:style>
  <w:style w:type="paragraph" w:styleId="Header">
    <w:name w:val="header"/>
    <w:basedOn w:val="Normal"/>
    <w:link w:val="Head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E812AA"/>
    <w:rPr>
      <w:rFonts w:ascii="Times New Roman" w:hAnsi="Times New Roman"/>
      <w:color w:val="000000"/>
      <w:sz w:val="19"/>
      <w:szCs w:val="22"/>
      <w:lang w:val="es-ES" w:eastAsia="es-ES"/>
    </w:rPr>
  </w:style>
  <w:style w:type="paragraph" w:styleId="Footer">
    <w:name w:val="footer"/>
    <w:basedOn w:val="Normal"/>
    <w:link w:val="FooterChar"/>
    <w:uiPriority w:val="99"/>
    <w:unhideWhenUsed/>
    <w:rsid w:val="00E812AA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E812AA"/>
    <w:rPr>
      <w:rFonts w:ascii="Times New Roman" w:hAnsi="Times New Roman"/>
      <w:color w:val="000000"/>
      <w:sz w:val="19"/>
      <w:szCs w:val="22"/>
      <w:lang w:val="es-ES" w:eastAsia="es-E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12AA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12AA"/>
    <w:rPr>
      <w:rFonts w:ascii="Times New Roman" w:hAnsi="Times New Roman"/>
      <w:color w:val="000000"/>
      <w:lang w:val="es-ES" w:eastAsia="es-ES"/>
    </w:rPr>
  </w:style>
  <w:style w:type="character" w:styleId="FootnoteReference">
    <w:name w:val="footnote reference"/>
    <w:uiPriority w:val="99"/>
    <w:semiHidden/>
    <w:unhideWhenUsed/>
    <w:rsid w:val="00E812AA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943D0F"/>
    <w:pPr>
      <w:spacing w:after="0" w:line="240" w:lineRule="auto"/>
      <w:ind w:left="0" w:firstLine="0"/>
      <w:jc w:val="left"/>
    </w:pPr>
    <w:rPr>
      <w:rFonts w:ascii="Consolas" w:hAnsi="Consolas"/>
      <w:color w:val="auto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943D0F"/>
    <w:rPr>
      <w:rFonts w:ascii="Consolas" w:hAnsi="Consolas"/>
      <w:sz w:val="21"/>
      <w:szCs w:val="21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42E22-A1E3-47DE-83CE-B06CB79C5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842</Words>
  <Characters>4800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0055.fm</vt:lpstr>
      <vt:lpstr>0055.fm</vt:lpstr>
    </vt:vector>
  </TitlesOfParts>
  <Company>Kommerskollegium</Company>
  <LinksUpToDate>false</LinksUpToDate>
  <CharactersWithSpaces>5631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0055.fm</dc:title>
  <dc:subject/>
  <dc:creator>leer01</dc:creator>
  <cp:keywords/>
  <cp:lastModifiedBy>UGARTE, Esther</cp:lastModifiedBy>
  <cp:revision>8</cp:revision>
  <dcterms:created xsi:type="dcterms:W3CDTF">2019-04-30T10:57:00Z</dcterms:created>
  <dcterms:modified xsi:type="dcterms:W3CDTF">2019-05-08T15:03:00Z</dcterms:modified>
</cp:coreProperties>
</file>