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2021. gada 4. augusta Lēmums par enerģijas un vides veiktspējas prasībām būvēšanai Francijas Eiropas daļā un ar ko apstiprina aprēķinu metodi, kas paredzēta Būvniecības un mājokļu kodeksa R.172-6. pantā</w:t>
      </w:r>
    </w:p>
    <w:p w14:paraId="6B6A81B7" w14:textId="43763980"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sadaļa: VISPĀRĪGI NOTEIKUMI (1.</w:t>
      </w:r>
      <w:r w:rsidR="00577E61">
        <w:rPr>
          <w:rFonts w:ascii="Times New Roman" w:hAnsi="Times New Roman"/>
          <w:sz w:val="24"/>
        </w:rPr>
        <w:t>-</w:t>
      </w:r>
      <w:r>
        <w:rPr>
          <w:rFonts w:ascii="Times New Roman" w:hAnsi="Times New Roman"/>
          <w:sz w:val="24"/>
        </w:rPr>
        <w:t>7. pants)</w:t>
      </w:r>
    </w:p>
    <w:p w14:paraId="6FFF2A3F" w14:textId="7F2A94E2"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sadaļa ENERĢIJAS UN VIDES VEIKTSPĒJAS PRASĪBU IZTEIKSMES SPECIFIKĀCIJAS (8.</w:t>
      </w:r>
      <w:r w:rsidR="00577E61">
        <w:rPr>
          <w:rFonts w:ascii="Times New Roman" w:hAnsi="Times New Roman"/>
          <w:sz w:val="24"/>
        </w:rPr>
        <w:t>-</w:t>
      </w:r>
      <w:r>
        <w:rPr>
          <w:rFonts w:ascii="Times New Roman" w:hAnsi="Times New Roman"/>
          <w:sz w:val="24"/>
        </w:rPr>
        <w:t>18. pants)</w:t>
      </w:r>
    </w:p>
    <w:p w14:paraId="2B04B68A" w14:textId="24F32E6E"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sadaļa LĪDZEKĻU TERMISKĀS PAZĪMES UN PRASĪBAS (KATRAM KOMPONENTAM) (19.</w:t>
      </w:r>
      <w:r w:rsidR="00577E61">
        <w:rPr>
          <w:rFonts w:ascii="Times New Roman" w:hAnsi="Times New Roman"/>
          <w:sz w:val="24"/>
        </w:rPr>
        <w:t>-</w:t>
      </w:r>
      <w:r>
        <w:rPr>
          <w:rFonts w:ascii="Times New Roman" w:hAnsi="Times New Roman"/>
          <w:sz w:val="24"/>
        </w:rPr>
        <w:t>40. pants)</w:t>
      </w:r>
    </w:p>
    <w:p w14:paraId="6EDB8527" w14:textId="2BAA3C6A"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IV sadaļa PRIEKŠLIKUMS VIENKĀRŠOTĀM PIEMĒROŠANAS METODĒM INDIVIDUĀLĀS MĀJĀS (41.</w:t>
      </w:r>
      <w:r w:rsidR="00577E61">
        <w:rPr>
          <w:rFonts w:ascii="Times New Roman" w:hAnsi="Times New Roman"/>
          <w:sz w:val="24"/>
        </w:rPr>
        <w:t>-</w:t>
      </w:r>
      <w:r>
        <w:rPr>
          <w:rFonts w:ascii="Times New Roman" w:hAnsi="Times New Roman"/>
          <w:sz w:val="24"/>
        </w:rPr>
        <w:t>42. pants)</w:t>
      </w:r>
    </w:p>
    <w:p w14:paraId="76900BC5" w14:textId="735EF064"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 sadaļa ĪPAŠIE GADĪJUMI (43.</w:t>
      </w:r>
      <w:r w:rsidR="00577E61">
        <w:rPr>
          <w:rFonts w:ascii="Times New Roman" w:hAnsi="Times New Roman"/>
          <w:sz w:val="24"/>
        </w:rPr>
        <w:t>-</w:t>
      </w:r>
      <w:r>
        <w:rPr>
          <w:rFonts w:ascii="Times New Roman" w:hAnsi="Times New Roman"/>
          <w:sz w:val="24"/>
        </w:rPr>
        <w:t>44. pants)</w:t>
      </w:r>
    </w:p>
    <w:p w14:paraId="0F208645" w14:textId="54777CE1"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VI sadaļa DAŽĀDI NOSACĪJUMI (45.</w:t>
      </w:r>
      <w:r w:rsidR="00577E61">
        <w:rPr>
          <w:rFonts w:ascii="Times New Roman" w:hAnsi="Times New Roman"/>
          <w:sz w:val="24"/>
        </w:rPr>
        <w:t>-</w:t>
      </w:r>
      <w:r>
        <w:rPr>
          <w:rFonts w:ascii="Times New Roman" w:hAnsi="Times New Roman"/>
          <w:sz w:val="24"/>
        </w:rPr>
        <w:t>52. pants)</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Pielikums</w:t>
      </w:r>
    </w:p>
    <w:p w14:paraId="3DE0623C" w14:textId="702ABC62"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Mērķauditorija: pasūtītāji, būvuzņēmēji, būvnieki un nekustamā īpašuma projektu attīstītāji, arhitekti, biroji, kuri veic siltumefektivitātes un vides aizsardzības pētījumus, ēku ekonomisti, tehniskie inspektori, būvuzņēmumi, būvmateriālu un ēku tehnisko sistēmu ražošanas uzņēmumi un enerģijas piegādātāji Francijas kontinentālajā daļā, programmatūras redaktori. </w:t>
      </w:r>
      <w:r>
        <w:rPr>
          <w:rFonts w:ascii="Times New Roman" w:hAnsi="Times New Roman"/>
          <w:sz w:val="24"/>
        </w:rPr>
        <w:br/>
        <w:t xml:space="preserve">Nolūks: jaunām ēkām un ēku paplašinājumiem Francijas kontinentālajā daļā; to enerģijas un vides pazīmju iestatījuma prasības; to energoefektivitātes un ekoloģisko raksturlielumu fiksācijas precizitāte; to energoefektivitātes un ekoloģisko raksturlielumu aprēķina metodes fiksācija. </w:t>
      </w:r>
      <w:r>
        <w:rPr>
          <w:rFonts w:ascii="Times New Roman" w:hAnsi="Times New Roman"/>
          <w:sz w:val="24"/>
        </w:rPr>
        <w:br/>
        <w:t>Stāšanās spēkā: šīs prasības, kā arī aprēķina metodi piemēro no 2022. gada 1. janvāra dzīvojamo ēku vai ēku daļu būvniecībai un no 2022. gada 1. jūlija </w:t>
      </w:r>
      <w:r w:rsidR="00EC1D31">
        <w:rPr>
          <w:rFonts w:ascii="Times New Roman" w:hAnsi="Times New Roman"/>
          <w:sz w:val="24"/>
        </w:rPr>
        <w:t>-</w:t>
      </w:r>
      <w:r>
        <w:rPr>
          <w:rFonts w:ascii="Times New Roman" w:hAnsi="Times New Roman"/>
          <w:sz w:val="24"/>
        </w:rPr>
        <w:t xml:space="preserve"> ēku vai ēku daļu būvniecībai biroju vai pamatizglītības vai vidējās izglītības vajadzībām. Tos piemēro arī pagaidu būvēm un pagarinājumiem atkarībā no to virsmas platības, ko izmanto tādiem pašiem mērķiem no 2023. gada 1. janvāra. Šīs prasības attiecas arī uz konstrukcijām, tostarp tām, kurām nav vajadzīga būvatļauja vai iepriekšēja deklarācija. </w:t>
      </w:r>
      <w:r>
        <w:rPr>
          <w:rFonts w:ascii="Times New Roman" w:hAnsi="Times New Roman"/>
          <w:sz w:val="24"/>
        </w:rPr>
        <w:br/>
        <w:t xml:space="preserve">Paziņojums: šis rīkojums nosaka resursu (vai katras sastāvdaļas) prasības, kurām jāatbilst iepriekš minētajām ēkām, kas atrodas Francijas kontinentālajā daļā. Tajā norādīts, kā noteikt šādas piecas (vai kopējās) rezultātu prasības: 1) ēkas enerģijas izstrādes optimizācija neatkarīgi no ieviestajām energosistēmām; 2) primārās enerģijas patēriņa ierobežošana; 3) ar šo patēriņu saistītās ietekmes uz klimata pārmaiņām ierobežošana; 4) būvkomponentu ietekmes ierobežošana uz klimata pārmaiņām; 5) diskomforta situāciju ierobežošana ēkā vasarā. Visbeidzot: šis rīkojums nosaka energoefektivitātes un vides aizsardzības rādītāju aprēķinu metodi dzīvojamo ēku, biroju ēku vai pamatizglītības vai vidējās izglītības ēku būvei Francijas kontinentālajā daļā, izklāstot to trijos pielikumos. </w:t>
      </w:r>
      <w:r>
        <w:rPr>
          <w:rFonts w:ascii="Times New Roman" w:hAnsi="Times New Roman"/>
          <w:sz w:val="24"/>
        </w:rPr>
        <w:br/>
      </w:r>
      <w:r w:rsidR="00EC1D31">
        <w:rPr>
          <w:rFonts w:ascii="Times New Roman" w:hAnsi="Times New Roman"/>
          <w:sz w:val="24"/>
        </w:rPr>
        <w:t xml:space="preserve">- </w:t>
      </w:r>
      <w:r>
        <w:rPr>
          <w:rFonts w:ascii="Times New Roman" w:hAnsi="Times New Roman"/>
          <w:sz w:val="24"/>
        </w:rPr>
        <w:t>II </w:t>
      </w:r>
      <w:r w:rsidR="00EC1D31">
        <w:rPr>
          <w:rFonts w:ascii="Times New Roman" w:hAnsi="Times New Roman"/>
          <w:sz w:val="24"/>
        </w:rPr>
        <w:t>PIELIKUMS</w:t>
      </w:r>
      <w:r>
        <w:rPr>
          <w:rFonts w:ascii="Times New Roman" w:hAnsi="Times New Roman"/>
          <w:sz w:val="24"/>
        </w:rPr>
        <w:t xml:space="preserve">. Vispārīgi noteikumi energoefektivitātes un vides aizsardzības rādītāju aprēķināšanai. </w:t>
      </w:r>
      <w:r>
        <w:rPr>
          <w:rFonts w:ascii="Times New Roman" w:hAnsi="Times New Roman"/>
          <w:sz w:val="24"/>
        </w:rPr>
        <w:br/>
      </w:r>
      <w:r w:rsidR="00EC1D31">
        <w:rPr>
          <w:rFonts w:ascii="Times New Roman" w:hAnsi="Times New Roman"/>
          <w:sz w:val="24"/>
        </w:rPr>
        <w:t xml:space="preserve">- </w:t>
      </w:r>
      <w:r>
        <w:rPr>
          <w:rFonts w:ascii="Times New Roman" w:hAnsi="Times New Roman"/>
          <w:sz w:val="24"/>
        </w:rPr>
        <w:t>III </w:t>
      </w:r>
      <w:r w:rsidR="00EC1D31">
        <w:rPr>
          <w:rFonts w:ascii="Times New Roman" w:hAnsi="Times New Roman"/>
          <w:sz w:val="24"/>
        </w:rPr>
        <w:t>PIELIKUMS</w:t>
      </w:r>
      <w:r>
        <w:rPr>
          <w:rFonts w:ascii="Times New Roman" w:hAnsi="Times New Roman"/>
          <w:sz w:val="24"/>
        </w:rPr>
        <w:t xml:space="preserve">. Aprēķina metode “Th-ECB 2020”, kurā detalizēti izklāstīti energoefektivitātes aprēķināšanas noteikumi; </w:t>
      </w:r>
      <w:r>
        <w:rPr>
          <w:rFonts w:ascii="Times New Roman" w:hAnsi="Times New Roman"/>
          <w:sz w:val="24"/>
        </w:rPr>
        <w:br/>
      </w:r>
      <w:r w:rsidR="00EC1D31">
        <w:rPr>
          <w:rFonts w:ascii="Times New Roman" w:hAnsi="Times New Roman"/>
          <w:sz w:val="24"/>
        </w:rPr>
        <w:t>-</w:t>
      </w:r>
      <w:r>
        <w:rPr>
          <w:rFonts w:ascii="Times New Roman" w:hAnsi="Times New Roman"/>
          <w:sz w:val="24"/>
        </w:rPr>
        <w:t xml:space="preserve"> IV PIELIKUMS. Noteikumi “Th-Bat 2020” par ieejas datu noteikšanu, aprēķinot energoefektivitāti. </w:t>
      </w:r>
      <w:r>
        <w:rPr>
          <w:rFonts w:ascii="Times New Roman" w:hAnsi="Times New Roman"/>
          <w:sz w:val="24"/>
        </w:rPr>
        <w:br/>
        <w:t xml:space="preserve">Atsauces: ar rakstisko tekstu, kas grozīts ar šo rīkojumu, var iepazīties “Légifrance” vietnē (www.legifrance.gouv.fr). </w:t>
      </w:r>
    </w:p>
    <w:p w14:paraId="6425698B" w14:textId="727F9675"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Ekoloģiskās pārejas ministrs un ekoloģiskās pārejas ministra vietas izpildītājs, kas atbild par mājokļiem,</w:t>
      </w:r>
      <w:r>
        <w:rPr>
          <w:rFonts w:ascii="Times New Roman" w:hAnsi="Times New Roman"/>
          <w:sz w:val="24"/>
        </w:rPr>
        <w:br/>
        <w:t>ņemot vērā Eiropas Parlamenta un Padomes 2010. gada 19. maija Direktīvu 2010/31/ES par ēku energoefektivitāti, kā grozīta ar Eiropas Parlamenta un Padomes 2018. gada 30. maija Direktīvu 2018/844, jo īpaši tās 3. pantu;</w:t>
      </w:r>
      <w:r>
        <w:rPr>
          <w:rFonts w:ascii="Times New Roman" w:hAnsi="Times New Roman"/>
          <w:sz w:val="24"/>
        </w:rPr>
        <w:br/>
        <w:t>ņemot vērā Eiropas Parlamenta un Padomes 2015. gada 9. septembra Direktīvu (ES) 2015/1535, ar ko nosaka informācijas sniegšanas kārtību tehnisko noteikumu un Informācijas sabiedrības pakalpojumu noteikumu jomā (kodificēta redakcija);</w:t>
      </w:r>
      <w:r>
        <w:rPr>
          <w:rFonts w:ascii="Times New Roman" w:hAnsi="Times New Roman"/>
          <w:sz w:val="24"/>
        </w:rPr>
        <w:br/>
        <w:t>ņemot vērā Būvniecības un mājokļu kodeksu, jo īpaši tā L. 181-1., R. 172-1.</w:t>
      </w:r>
      <w:r w:rsidR="00577E61">
        <w:rPr>
          <w:rFonts w:ascii="Times New Roman" w:hAnsi="Times New Roman"/>
          <w:sz w:val="24"/>
        </w:rPr>
        <w:t>-</w:t>
      </w:r>
      <w:r>
        <w:rPr>
          <w:rFonts w:ascii="Times New Roman" w:hAnsi="Times New Roman"/>
          <w:sz w:val="24"/>
        </w:rPr>
        <w:t>R. 172-9. un R. 126-16. pantu;</w:t>
      </w:r>
      <w:r>
        <w:rPr>
          <w:rFonts w:ascii="Times New Roman" w:hAnsi="Times New Roman"/>
          <w:sz w:val="24"/>
        </w:rPr>
        <w:br/>
        <w:t>ņemot vērā Elektroenerģijas kodeksu un jo īpaši tā R. 241-26. un R. 241-30. pantu;</w:t>
      </w:r>
      <w:r>
        <w:rPr>
          <w:rFonts w:ascii="Times New Roman" w:hAnsi="Times New Roman"/>
          <w:sz w:val="24"/>
        </w:rPr>
        <w:br/>
        <w:t>ņemot vērā Pilsētplānošanas kodeksu, jo īpaši tā L. 151-19., R*. 421-2. un R*. 421-5. pantu;</w:t>
      </w:r>
      <w:r>
        <w:rPr>
          <w:rFonts w:ascii="Times New Roman" w:hAnsi="Times New Roman"/>
          <w:sz w:val="24"/>
        </w:rPr>
        <w:br/>
        <w:t>ņemot vērā 2007. gada 3. maija rīkojumu par esošo ēku termiskajiem raksturlielumiem un energoefektivitāti, kurā minēti visi attiecīgie būvdarbi un noteiktas ar to saistītās prasības, kas grozītas ar 2017. gada 22. marta rīkojumu;</w:t>
      </w:r>
      <w:r>
        <w:rPr>
          <w:rFonts w:ascii="Times New Roman" w:hAnsi="Times New Roman"/>
          <w:sz w:val="24"/>
        </w:rPr>
        <w:br/>
        <w:t>ņemot vērā 2008. gada 13. jūnija rīkojumu par esošo energoefektivitāti ēkām, kuru virsmas platība pārsniedz 1000 m², veicot būtiskus renovācijas darbus;</w:t>
      </w:r>
      <w:r>
        <w:rPr>
          <w:rFonts w:ascii="Times New Roman" w:hAnsi="Times New Roman"/>
          <w:sz w:val="24"/>
        </w:rPr>
        <w:br/>
        <w:t>ņemot vērā 2010. gada 26. oktobra rīkojumu par jaunu ēku un jaunu ēku daļu termiskajiem raksturlielumiem un energoefektivitātes prasībām;</w:t>
      </w:r>
      <w:r>
        <w:rPr>
          <w:rFonts w:ascii="Times New Roman" w:hAnsi="Times New Roman"/>
          <w:sz w:val="24"/>
        </w:rPr>
        <w:br/>
        <w:t>ņemot vērā 2012. gada 28. decembra rīkojumu par jaunu ēku un jaunu ēku daļu termiskajiem raksturlielumiem un energoefektivitātes prasībām, izņemot tās, uz kurām attiecas 2010. gada 26. oktobra dekrēta par ēku termiskajiem raksturlielumiem un energoefektivitātes enerģiju 2. pants;</w:t>
      </w:r>
      <w:r>
        <w:rPr>
          <w:rFonts w:ascii="Times New Roman" w:hAnsi="Times New Roman"/>
          <w:sz w:val="24"/>
        </w:rPr>
        <w:br/>
        <w:t>ņemot vērā Enerģētikas augstākās padomes 2021. gada 25. marta atzinumu;</w:t>
      </w:r>
      <w:r>
        <w:rPr>
          <w:rFonts w:ascii="Times New Roman" w:hAnsi="Times New Roman"/>
          <w:sz w:val="24"/>
        </w:rPr>
        <w:br/>
        <w:t>ņemot vērā Augstākās būvniecības un energoefektivitātes padomes 2021. gada 13. aprīļa atzinumu;</w:t>
      </w:r>
      <w:r>
        <w:rPr>
          <w:rFonts w:ascii="Times New Roman" w:hAnsi="Times New Roman"/>
          <w:sz w:val="24"/>
        </w:rPr>
        <w:br/>
        <w:t>ņemot vērā Valsts standartu novērtēšanas padomes 2021. gada 1. aprīļa un 6. maija atzinumu;</w:t>
      </w:r>
      <w:r>
        <w:rPr>
          <w:rFonts w:ascii="Times New Roman" w:hAnsi="Times New Roman"/>
          <w:sz w:val="24"/>
        </w:rPr>
        <w:br/>
        <w:t>Ņemot vērā paziņojumus Nr. 2020/791/F un Nr. 2020/792/F, kas 2020. gada 14. decembrī nosūtīti Eiropas Komisijai, un Komisijas 2021. gada 15. jūnija atbildi;</w:t>
      </w:r>
      <w:r>
        <w:rPr>
          <w:rFonts w:ascii="Times New Roman" w:hAnsi="Times New Roman"/>
          <w:sz w:val="24"/>
        </w:rPr>
        <w:br/>
        <w:t>ņemot vērā apsvērumus, kas iesniegti sabiedriskās apspriešanas laikā no 2021. gada 23. marta līdz 2021. gada 13. aprīlim saskaņā ar Vides kodeksa L. 123-19-1. pantu,</w:t>
      </w:r>
      <w:r>
        <w:rPr>
          <w:rFonts w:ascii="Times New Roman" w:hAnsi="Times New Roman"/>
          <w:sz w:val="24"/>
        </w:rPr>
        <w:br/>
        <w:t>Dekrēts:</w:t>
      </w:r>
    </w:p>
    <w:p w14:paraId="0A4ED9DC" w14:textId="7FAD7BAC"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sadaļa: VISPĀRĪGI NOTEIKUMI (1.</w:t>
      </w:r>
      <w:r w:rsidR="00577E61">
        <w:rPr>
          <w:rFonts w:ascii="Times New Roman" w:hAnsi="Times New Roman"/>
          <w:b/>
          <w:sz w:val="27"/>
        </w:rPr>
        <w:t>-</w:t>
      </w:r>
      <w:r>
        <w:rPr>
          <w:rFonts w:ascii="Times New Roman" w:hAnsi="Times New Roman"/>
          <w:b/>
          <w:sz w:val="27"/>
        </w:rPr>
        <w:t>7. pants)</w:t>
      </w:r>
    </w:p>
    <w:p w14:paraId="0E0870AB" w14:textId="50EADB2A"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 nodaļa. DARBĪBAS JOMA (1.</w:t>
      </w:r>
      <w:r w:rsidR="00577E61">
        <w:rPr>
          <w:rFonts w:ascii="Times New Roman" w:hAnsi="Times New Roman"/>
          <w:b/>
          <w:sz w:val="24"/>
        </w:rPr>
        <w:t>-</w:t>
      </w:r>
      <w:r>
        <w:rPr>
          <w:rFonts w:ascii="Times New Roman" w:hAnsi="Times New Roman"/>
          <w:b/>
          <w:sz w:val="24"/>
        </w:rPr>
        <w:t>2. pants)</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 pants</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Šā rīkojuma nosacījumi tiek piemēroti ēku un ēku daļu konstrukcijām, kas paredzētas dzīvošanai, biroju vajadzībām un primārās vai sekundārās izglītības iestādes vajadzībām, uz kurām attiecas Būvniecības un mājokļu kodeksa R. 172-1. pants, kā arī uz automašīnu novietņu konstrukcijām saistībā ar šīm konstrukcijām.</w:t>
      </w:r>
      <w:r>
        <w:rPr>
          <w:rFonts w:ascii="Times New Roman" w:hAnsi="Times New Roman"/>
          <w:sz w:val="24"/>
        </w:rPr>
        <w:br/>
        <w:t>Tos nepiemēro ēkām, kas atrodas Gvadelupā, Gajānā, Martinikā, Reinjonā un Majotā.</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 pants</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Ēkas daļu var pielīdzināt ēkas galvenajam izmantojumam, piemērojot saistītās prasības, ja ir izpildīti šādi kumulatīvi nosacījumi:</w:t>
      </w:r>
    </w:p>
    <w:p w14:paraId="4F4022D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attiecīgās ēkas daļas atsauces platība ir mazāka par 150 m² un mazāka par 10 % no ēkas galvenās izmantošanas atsauces platības;</w:t>
      </w:r>
      <w:r>
        <w:rPr>
          <w:rFonts w:ascii="Times New Roman" w:hAnsi="Times New Roman"/>
          <w:sz w:val="24"/>
        </w:rPr>
        <w:br/>
        <w:t>- uz ēkas daļu, kas atbilst galvenajai izmantošanai, attiecas šis rīkojums vai iepriekš minētais 2010. gada 26. oktobra rīkojums, vai iepriekš minētais 2012. gada 28. decembra rīkojums.</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Ēkas daļu, ko izmanto kā atsevišķu māju, nevar pielīdzināt citam lietojumam.</w:t>
      </w:r>
      <w:r>
        <w:rPr>
          <w:rFonts w:ascii="Times New Roman" w:hAnsi="Times New Roman"/>
          <w:sz w:val="24"/>
        </w:rPr>
        <w:br/>
        <w:t>Ēkas atsauces platība, ko apzīmē ar SREF, ir definēta Būvniecības un mājokļu kodeksa R. 172-4. panta pielikuma I nodaļas X punktā. Ja vien nav norādīts citādi, tas ir visā šajā rīkojumā izmantotais virsmas laukums.</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II nodaļa PAGAIDU PIEMĒROŠANAS PROCEDŪRAS (3. pants)</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 pants</w:t>
      </w:r>
    </w:p>
    <w:p w14:paraId="7490DDB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Saskaņā ar Būvniecības un mājokļu kodeksa R. 172-1. panta II punktu šā rīkojuma noteikumi ir piemērojami tikai no 2023. gada 1. janvāra vieglajiem atpūtas mājokļiem Pilsētplānošanas kodeksa R.* 421-2. panta izpratnē un pagaidu konstrukcijām tā paša kodeksa R.* 421-5. panta izpratnē.</w:t>
      </w:r>
      <w:r>
        <w:rPr>
          <w:rFonts w:ascii="Times New Roman" w:hAnsi="Times New Roman"/>
          <w:sz w:val="24"/>
        </w:rPr>
        <w:br/>
        <w:t>II. Saskaņā ar Būvniecības un mājokļu kodeksa R. 172-3. pantu šā rīkojuma noteikumi ir piemērojami tikai no 2023. gada 1. janvāra:</w:t>
      </w:r>
    </w:p>
    <w:p w14:paraId="74963075" w14:textId="697FBD2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577E61">
        <w:rPr>
          <w:rFonts w:ascii="Times New Roman" w:hAnsi="Times New Roman"/>
          <w:sz w:val="24"/>
        </w:rPr>
        <w:t>-</w:t>
      </w:r>
      <w:r>
        <w:rPr>
          <w:rFonts w:ascii="Times New Roman" w:hAnsi="Times New Roman"/>
          <w:sz w:val="24"/>
        </w:rPr>
        <w:t> ēkām un ēku paplašinājumiem, kuru atsauces platība ir mazāka par 50 m²;</w:t>
      </w:r>
      <w:r>
        <w:rPr>
          <w:rFonts w:ascii="Times New Roman" w:hAnsi="Times New Roman"/>
          <w:sz w:val="24"/>
        </w:rPr>
        <w:br/>
      </w:r>
      <w:r w:rsidR="00577E61">
        <w:rPr>
          <w:rFonts w:ascii="Times New Roman" w:hAnsi="Times New Roman"/>
          <w:sz w:val="24"/>
        </w:rPr>
        <w:t>-</w:t>
      </w:r>
      <w:r>
        <w:rPr>
          <w:rFonts w:ascii="Times New Roman" w:hAnsi="Times New Roman"/>
          <w:sz w:val="24"/>
        </w:rPr>
        <w:t> atsevišķu vai blakus esošu māju paplašinājumiem ar atsauces platību tieši no 50 m² līdz 100 m²;</w:t>
      </w:r>
      <w:r>
        <w:rPr>
          <w:rFonts w:ascii="Times New Roman" w:hAnsi="Times New Roman"/>
          <w:sz w:val="24"/>
        </w:rPr>
        <w:br/>
      </w:r>
      <w:r w:rsidR="00577E61">
        <w:rPr>
          <w:rFonts w:ascii="Times New Roman" w:hAnsi="Times New Roman"/>
          <w:sz w:val="24"/>
        </w:rPr>
        <w:t>-</w:t>
      </w:r>
      <w:r>
        <w:rPr>
          <w:rFonts w:ascii="Times New Roman" w:hAnsi="Times New Roman"/>
          <w:sz w:val="24"/>
        </w:rPr>
        <w:t> paplašinājumiem citiem lietojumiem, kas nav atsevišķas ēkas, kuru atsauces platība ir mazāka par 150 m² un 30 % no esošo telpu atsauces platības.</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Šīm ēkām līdz 2022. gada 31. decembrim piemēro tikai iepriekš minētā 2010. gada 26. oktobra rīkojuma noteikumus.</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III nodaļa DEFINĪCIJAS (4. pants)</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 pants</w:t>
      </w:r>
    </w:p>
    <w:p w14:paraId="5052F796" w14:textId="5B692C4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Termini, kas nepieciešami, lai saprastu šo rīkojumu, ir definēti I pielikumā. Šajā rīkojumā minētie rādītāji Bbio, Cep, Cep, nr, Icenergy, Icconstruction, DH, Icbuilding, StockC, Icconstruction un Icded, kā arī maksimālās vērtības Bbio_max, Cep_max, Cep, nr_max, Icenergy_max, Icconstruction_max un DH_max, kas </w:t>
      </w:r>
      <w:r>
        <w:rPr>
          <w:rFonts w:ascii="Times New Roman" w:hAnsi="Times New Roman"/>
          <w:sz w:val="24"/>
        </w:rPr>
        <w:lastRenderedPageBreak/>
        <w:t>minētas šajā rīkojumā, ir definētas Būvniecības un mājokļu kodeksa R. 172-4. panta pielikuma I nodaļas I</w:t>
      </w:r>
      <w:r w:rsidR="00577E61">
        <w:rPr>
          <w:rFonts w:ascii="Times New Roman" w:hAnsi="Times New Roman"/>
          <w:sz w:val="24"/>
        </w:rPr>
        <w:t>-</w:t>
      </w:r>
      <w:r>
        <w:rPr>
          <w:rFonts w:ascii="Times New Roman" w:hAnsi="Times New Roman"/>
          <w:sz w:val="24"/>
        </w:rPr>
        <w:t>IX punktā.</w:t>
      </w:r>
    </w:p>
    <w:p w14:paraId="19F123F0" w14:textId="5A57B22D"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IV nodaļa ENERGOEFEKTIVITĀTES UN EKOLOĢISKĀS VEIKTSPĒJAS PRASĪBAS UN MINIMĀLIE TEHNISKIE RAKSTURLIELUMI (5.</w:t>
      </w:r>
      <w:r w:rsidR="00577E61">
        <w:rPr>
          <w:rFonts w:ascii="Times New Roman" w:hAnsi="Times New Roman"/>
          <w:b/>
          <w:sz w:val="24"/>
        </w:rPr>
        <w:t>-</w:t>
      </w:r>
      <w:r>
        <w:rPr>
          <w:rFonts w:ascii="Times New Roman" w:hAnsi="Times New Roman"/>
          <w:b/>
          <w:sz w:val="24"/>
        </w:rPr>
        <w:t>7. pants)</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5. pants</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Ēkas vai ēku daļas, uz kurām attiecas šis rīkojums, atbilst Būvniecības un mājokļu kodeksa R. 172-4. pantā noteiktajām prasībām, kas noteiktas šā rīkojuma 8. panta pielikumā noteiktajā kārtībā.</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6. pants</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Dažu būvkomponentu vai ēku sastāvdaļu mezglu minimālajiem tehniskajiem parametriem, uz kuriem attiecas šis rīkojums, ir jāatbilst šā rīkojuma III sadaļā noteiktajām prasībām.</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7. pants</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Ēkas, kuru īpašības atbilst vienkāršotām piemērošanas metodēm, kas apstiprinātas saskaņā ar šā rīkojuma IV sadaļā aprakstītajiem nosacījumiem, uzskata par atbilstošām šā rīkojuma prasībām.</w:t>
      </w:r>
    </w:p>
    <w:p w14:paraId="47CB4C1A" w14:textId="5A34F85D"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 sadaļa</w:t>
      </w:r>
      <w:r w:rsidR="0085783F">
        <w:rPr>
          <w:rFonts w:ascii="Times New Roman" w:hAnsi="Times New Roman"/>
          <w:b/>
          <w:sz w:val="27"/>
        </w:rPr>
        <w:t>:</w:t>
      </w:r>
      <w:r>
        <w:rPr>
          <w:rFonts w:ascii="Times New Roman" w:hAnsi="Times New Roman"/>
          <w:b/>
          <w:sz w:val="27"/>
        </w:rPr>
        <w:t xml:space="preserve"> ENERĢIJAS UN VIDES VEIKTSPĒJAS PRASĪBU IZTEIKSMES SPECIFIKĀCIJAS (8.</w:t>
      </w:r>
      <w:r w:rsidR="00577E61">
        <w:rPr>
          <w:rFonts w:ascii="Times New Roman" w:hAnsi="Times New Roman"/>
          <w:b/>
          <w:sz w:val="27"/>
        </w:rPr>
        <w:t>-</w:t>
      </w:r>
      <w:r>
        <w:rPr>
          <w:rFonts w:ascii="Times New Roman" w:hAnsi="Times New Roman"/>
          <w:b/>
          <w:sz w:val="27"/>
        </w:rPr>
        <w:t>18. pants)</w:t>
      </w:r>
    </w:p>
    <w:p w14:paraId="5D33652C" w14:textId="6FDF2226"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 nodaļa. ATBILSTĪBAS PRASĪBĀM NOVĒRTĒŠANA (8.</w:t>
      </w:r>
      <w:r w:rsidR="00577E61">
        <w:rPr>
          <w:rFonts w:ascii="Times New Roman" w:hAnsi="Times New Roman"/>
          <w:b/>
          <w:sz w:val="24"/>
        </w:rPr>
        <w:t>-</w:t>
      </w:r>
      <w:r>
        <w:rPr>
          <w:rFonts w:ascii="Times New Roman" w:hAnsi="Times New Roman"/>
          <w:b/>
          <w:sz w:val="24"/>
        </w:rPr>
        <w:t>17. pants)</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8. pants</w:t>
      </w:r>
    </w:p>
    <w:p w14:paraId="5251B7C2" w14:textId="3A206CA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Tiek apstiprināta šā rīkojuma II</w:t>
      </w:r>
      <w:r w:rsidR="00577E61">
        <w:rPr>
          <w:rFonts w:ascii="Times New Roman" w:hAnsi="Times New Roman"/>
          <w:sz w:val="24"/>
        </w:rPr>
        <w:t>-</w:t>
      </w:r>
      <w:r>
        <w:rPr>
          <w:rFonts w:ascii="Times New Roman" w:hAnsi="Times New Roman"/>
          <w:sz w:val="24"/>
        </w:rPr>
        <w:t>IV pielikumā izklāstītā un Būvniecības un mājokļu kodeksa R. 172-6. pantā nodrošinātā aprēķina metode.</w:t>
      </w:r>
      <w:r>
        <w:rPr>
          <w:rFonts w:ascii="Times New Roman" w:hAnsi="Times New Roman"/>
          <w:sz w:val="24"/>
        </w:rPr>
        <w:br/>
        <w:t>Saskaņā ar tā paša panta I punktu šī aprēķina metode nosaka ēkas energoefektivitāti un ekoloģiskos raksturlielumus, jo īpaši atsaucoties uz rādītājiem, kas aprakstīti tā paša kodeksa R. 172-4. panta pielikuma I nodaļas I</w:t>
      </w:r>
      <w:r w:rsidR="00577E61">
        <w:rPr>
          <w:rFonts w:ascii="Times New Roman" w:hAnsi="Times New Roman"/>
          <w:sz w:val="24"/>
        </w:rPr>
        <w:t>-</w:t>
      </w:r>
      <w:r>
        <w:rPr>
          <w:rFonts w:ascii="Times New Roman" w:hAnsi="Times New Roman"/>
          <w:sz w:val="24"/>
        </w:rPr>
        <w:t>IX punktā, pamatojoties uz ēkas un tās sastāvdaļu raksturlielumiem.</w:t>
      </w:r>
      <w:r>
        <w:rPr>
          <w:rFonts w:ascii="Times New Roman" w:hAnsi="Times New Roman"/>
          <w:sz w:val="24"/>
        </w:rPr>
        <w:br/>
        <w:t>Konkrētāk:</w:t>
      </w:r>
    </w:p>
    <w:p w14:paraId="240366C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šos rādītājus aprēķina, uzsvaru liekot uz parastajiem klimatiskajiem apstākļiem un izmantošanas intensitātes datiem;</w:t>
      </w:r>
      <w:r>
        <w:rPr>
          <w:rFonts w:ascii="Times New Roman" w:hAnsi="Times New Roman"/>
          <w:sz w:val="24"/>
        </w:rPr>
        <w:br/>
        <w:t>- Bbio, Cep, nr un Cep rādītājus aprēķina viena gada laikā;</w:t>
      </w:r>
      <w:r>
        <w:rPr>
          <w:rFonts w:ascii="Times New Roman" w:hAnsi="Times New Roman"/>
          <w:sz w:val="24"/>
        </w:rPr>
        <w:br/>
        <w:t>- klimata pārmaiņu ietekmes rādītājus Icenergy, Icbuilding un Icbuilding aprēķina, izmantojot 11. pantā noteiktos koeficientus, un ēkas ekspluatācijas ilgums saskaņā ar konvenciju ir 50 gadi;</w:t>
      </w:r>
      <w:r>
        <w:rPr>
          <w:rFonts w:ascii="Times New Roman" w:hAnsi="Times New Roman"/>
          <w:sz w:val="24"/>
        </w:rPr>
        <w:br/>
      </w:r>
      <w:r>
        <w:rPr>
          <w:rFonts w:ascii="Times New Roman" w:hAnsi="Times New Roman"/>
          <w:sz w:val="24"/>
        </w:rPr>
        <w:lastRenderedPageBreak/>
        <w:t>- Cep, nr rādītāja aprēķinā ņem vērā 9. panta I punktā noteiktos koeficientus;</w:t>
      </w:r>
      <w:r>
        <w:rPr>
          <w:rFonts w:ascii="Times New Roman" w:hAnsi="Times New Roman"/>
          <w:sz w:val="24"/>
        </w:rPr>
        <w:br/>
        <w:t>- Cep rādītāja aprēķinā ņem vērā 9. panta II punktā noteiktos koeficientus;</w:t>
      </w:r>
      <w:r>
        <w:rPr>
          <w:rFonts w:ascii="Times New Roman" w:hAnsi="Times New Roman"/>
          <w:sz w:val="24"/>
        </w:rPr>
        <w:br/>
        <w:t>- Icenergy rādītāja aprēķinā ņem vērā 10. pantā noteiktos koeficientus.</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9. pants</w:t>
      </w:r>
    </w:p>
    <w:p w14:paraId="4649933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Lai noteiktu šajā rīkojumā izklāstīto Cep, nr indikatoru, tiek izmantoti ēkas kā neatjaunojamas primārās enerģijas transformācijas koeficienti, un tos parasti uzskata par vienādiem ar:</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6"/>
        <w:gridCol w:w="5480"/>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ēkas importētās enerģijas veidu</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pārveidošanas koeficientiem, kas iekļūst ēkā kā neatjaunojama primārā enerģija</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Koksne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Elektroenerģija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Centralizētās siltumapgādes tīkls (siltumapgāde)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658F7B58"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w:t>
            </w:r>
            <w:r w:rsidR="0085783F">
              <w:rPr>
                <w:rFonts w:ascii="Times New Roman" w:hAnsi="Times New Roman"/>
                <w:sz w:val="24"/>
              </w:rPr>
              <w:t>-</w:t>
            </w:r>
            <w:r>
              <w:rPr>
                <w:rFonts w:ascii="Times New Roman" w:hAnsi="Times New Roman"/>
                <w:sz w:val="24"/>
              </w:rPr>
              <w:t xml:space="preserve"> atjaunojamās enerģijas vai tīkla reģenerācijas koeficients (siltums)</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Centralizētās siltumapgādes tīkls (auksts)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Metāna gāze (dabīgā) no tīkliem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Ēkā vai zemes gabalā uztvertā atjaunojamā enerģija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Citi energoresursi</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Atjaunojamās enerģijas vai pilsētas siltumapgādes tīkla reģenerācijas koeficientu nosaka katras esošās infrastruktūras secībā.</w:t>
      </w:r>
      <w:r>
        <w:rPr>
          <w:rFonts w:ascii="Times New Roman" w:hAnsi="Times New Roman"/>
          <w:sz w:val="24"/>
        </w:rPr>
        <w:br/>
        <w:t>II. Nosakot Cep indikatoru, izmanto ēkas kā primārās enerģijas transformācijas koeficientus, un tos parasti uzskata par vienādiem ar:</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58"/>
        <w:gridCol w:w="5098"/>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ēkas importētās enerģijas veidu</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pārveidošanas koeficientiem, kas iekļūst ēkā kā primārā enerģija</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Koksne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Elektroenerģija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Centralizētais tīkls (apkure)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Centralizētais tīkls (auksts)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Metāna gāze (dabīgā) no tīkliem</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Ēkā vai zemes gabalā uztvertā atjaunojamā enerģija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Citi energoresursi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Saskaņā ar konvenciju enerģija, ko ēka saražo tīkla vārdā, kā arī iespējamais ēkas importētās enerģijas daudzums, lai ražotu šo enerģiju, neietekmē ēkas Cep, nr, Cep un Icenergy rādītājus.</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10. pants</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Nosakot Icenergy indikatoru, izmanto ēkā ienākošās enerģijas transformācijas koeficientus kā emitēto siltumnīcefekta gāzu daudzumus, un saskaņā ar konvenciju tos parasti uzskata par vienādiem ar:</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0"/>
        <w:gridCol w:w="5426"/>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enerģijas veidu uz 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CO2, kas ekvivalents vienai gala enerģijas kilovatstundai vienumā LCV</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6A494F88"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Koksne, biomasa </w:t>
            </w:r>
            <w:r w:rsidR="00D26630">
              <w:rPr>
                <w:rFonts w:ascii="Times New Roman" w:hAnsi="Times New Roman"/>
                <w:sz w:val="24"/>
              </w:rPr>
              <w:t>-</w:t>
            </w:r>
            <w:r>
              <w:rPr>
                <w:rFonts w:ascii="Times New Roman" w:hAnsi="Times New Roman"/>
                <w:sz w:val="24"/>
              </w:rPr>
              <w:t xml:space="preserve"> šķelda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6C36913E"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Koksne, biomasa </w:t>
            </w:r>
            <w:r w:rsidR="00D26630">
              <w:rPr>
                <w:rFonts w:ascii="Times New Roman" w:hAnsi="Times New Roman"/>
                <w:sz w:val="24"/>
              </w:rPr>
              <w:t>-</w:t>
            </w:r>
            <w:r>
              <w:rPr>
                <w:rFonts w:ascii="Times New Roman" w:hAnsi="Times New Roman"/>
                <w:sz w:val="24"/>
              </w:rPr>
              <w:t xml:space="preserve"> granulas (lodītes) vai briketes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2C4B588C"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Koksne, biomasa </w:t>
            </w:r>
            <w:r w:rsidR="00D26630">
              <w:rPr>
                <w:rFonts w:ascii="Times New Roman" w:hAnsi="Times New Roman"/>
                <w:sz w:val="24"/>
              </w:rPr>
              <w:t>-</w:t>
            </w:r>
            <w:r>
              <w:rPr>
                <w:rFonts w:ascii="Times New Roman" w:hAnsi="Times New Roman"/>
                <w:sz w:val="24"/>
              </w:rPr>
              <w:t xml:space="preserve"> baļķis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Elektrība apkurei</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Elektroenerģija dzesēšanai</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DHW elektroenerģija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Elektrība terciārajam apgaismojumam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Elektrība dzīvojamo ēku apgaismojumam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Elektroenerģija, ko izmanto citiem mērķiem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Metāna gāze (dabīgā) no tīkliem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Butāna gāze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Propāna gāze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Cits fosilais kurināmais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Pilsētas siltumapgādes vai dzesēšanas tīklu emisijas koeficientu nosaka katras esošās infrastruktūras secībā.</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11. pants</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Svēruma koeficientus, ko izmanto, lai aprēķinātu klimata pārmaiņu ietekmes rādītājus Icenergy, Icconstruction un Icbuilding atkarībā no emisijas gada un emitētās gāzes veida, pieņem kā vienādus ar:</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Visu tekstu ar attēliem var apskatīt autentificētā elektroniskā Oficiālā Vēstneša izrakstā, kas ir pieejams lapas apakšā.</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12. pants</w:t>
      </w:r>
    </w:p>
    <w:p w14:paraId="5013377D" w14:textId="1817D14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Programmatūrai, kas ļauj pilnībā vai daļēji aprēķināt rādītājus, kuri aprakstīti Būvniecības un mājokļu kodeksa pielikuma R. 172-4. panta I nodaļas I</w:t>
      </w:r>
      <w:r w:rsidR="00577E61">
        <w:rPr>
          <w:rFonts w:ascii="Times New Roman" w:hAnsi="Times New Roman"/>
          <w:sz w:val="24"/>
        </w:rPr>
        <w:t>-</w:t>
      </w:r>
      <w:r>
        <w:rPr>
          <w:rFonts w:ascii="Times New Roman" w:hAnsi="Times New Roman"/>
          <w:sz w:val="24"/>
        </w:rPr>
        <w:t>IX punktā, lai pārbaudītu atbilstību iepriekš minētajam pantam un šim rīkojumam, ir jāievēro 8. pantā norādītā aprēķina metode.</w:t>
      </w:r>
      <w:r>
        <w:rPr>
          <w:rFonts w:ascii="Times New Roman" w:hAnsi="Times New Roman"/>
          <w:sz w:val="24"/>
        </w:rPr>
        <w:br/>
        <w:t>Šajā nolūkā tās pamatā ir jābūt Bbio, Cep, nr, Cep un DH rādītāju aprēķināšanas instrumenta, kas ir pieejams pēc pieprasījuma saskaņā ar Būvniecības un mājokļu kodeksa L. 121-2. pantu. Šā rīka atjauninājumus integrē viena mēneša laikā pēc to izlaišanas attiecīgajā programmatūrā.</w:t>
      </w:r>
      <w:r>
        <w:rPr>
          <w:rFonts w:ascii="Times New Roman" w:hAnsi="Times New Roman"/>
          <w:sz w:val="24"/>
        </w:rPr>
        <w:br/>
        <w:t>Jebkuru šīs programmatūras regulatīvo izmantošanu vispirms apstiprina enerģētikas ministrs un par būvniecību atbildīgais ministrs, jo īpaši, lai pārbaudītu, vai iegūtie rezultāti atbilst aprēķina metodei un vai ievades saskarne samazina modelētāja ievades kļūdu risku.</w:t>
      </w:r>
      <w:r>
        <w:rPr>
          <w:rFonts w:ascii="Times New Roman" w:hAnsi="Times New Roman"/>
          <w:sz w:val="24"/>
        </w:rPr>
        <w:br/>
        <w:t xml:space="preserve">Kā pārejas pasākumu programmatūru, kas veikusi pašpārbaudes, var izmantot </w:t>
      </w:r>
      <w:r>
        <w:rPr>
          <w:rFonts w:ascii="Times New Roman" w:hAnsi="Times New Roman"/>
          <w:sz w:val="24"/>
        </w:rPr>
        <w:lastRenderedPageBreak/>
        <w:t>regulatīviem mērķiem simulācijās, ko veic līdz 2022. gada 30. jūnijam.</w:t>
      </w:r>
      <w:r>
        <w:rPr>
          <w:rFonts w:ascii="Times New Roman" w:hAnsi="Times New Roman"/>
          <w:sz w:val="24"/>
        </w:rPr>
        <w:br/>
        <w:t>V pielikumā aprakstītas pašpārbaudes procedūras un šādas programmatūras apstiprināšanas procedūra.</w:t>
      </w:r>
      <w:r>
        <w:rPr>
          <w:rFonts w:ascii="Times New Roman" w:hAnsi="Times New Roman"/>
          <w:sz w:val="24"/>
        </w:rPr>
        <w:br/>
        <w:t>Pēc periodiskas pārskatīšanas apstiprinājumu atjauno saskaņā ar šādiem nosacījumiem:</w:t>
      </w:r>
    </w:p>
    <w:p w14:paraId="0C449CC4" w14:textId="6D589EE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577E61">
        <w:rPr>
          <w:rFonts w:ascii="Times New Roman" w:hAnsi="Times New Roman"/>
          <w:sz w:val="24"/>
        </w:rPr>
        <w:t>-</w:t>
      </w:r>
      <w:r>
        <w:rPr>
          <w:rFonts w:ascii="Times New Roman" w:hAnsi="Times New Roman"/>
          <w:sz w:val="24"/>
        </w:rPr>
        <w:t> pirmās pārbaudes derīguma termiņš ir divi gadi;</w:t>
      </w:r>
      <w:r>
        <w:rPr>
          <w:rFonts w:ascii="Times New Roman" w:hAnsi="Times New Roman"/>
          <w:sz w:val="24"/>
        </w:rPr>
        <w:br/>
      </w:r>
      <w:r w:rsidR="00577E61">
        <w:rPr>
          <w:rFonts w:ascii="Times New Roman" w:hAnsi="Times New Roman"/>
          <w:sz w:val="24"/>
        </w:rPr>
        <w:t>-</w:t>
      </w:r>
      <w:r>
        <w:rPr>
          <w:rFonts w:ascii="Times New Roman" w:hAnsi="Times New Roman"/>
          <w:sz w:val="24"/>
        </w:rPr>
        <w:t> apstiprinājuma derīguma termiņu pagarina par pieciem gadiem pēc pārskatīšanas, kurā nav konstatētas būtiskas novirzes no aprēķina metodes, kas bija spēkā pārskatīšanas dokumentācijas iesniegšanas laikā;</w:t>
      </w:r>
      <w:r>
        <w:rPr>
          <w:rFonts w:ascii="Times New Roman" w:hAnsi="Times New Roman"/>
          <w:sz w:val="24"/>
        </w:rPr>
        <w:br/>
      </w:r>
      <w:r w:rsidR="00577E61">
        <w:rPr>
          <w:rFonts w:ascii="Times New Roman" w:hAnsi="Times New Roman"/>
          <w:sz w:val="24"/>
        </w:rPr>
        <w:t>-</w:t>
      </w:r>
      <w:r>
        <w:rPr>
          <w:rFonts w:ascii="Times New Roman" w:hAnsi="Times New Roman"/>
          <w:sz w:val="24"/>
        </w:rPr>
        <w:t> apstiprinājuma derīguma termiņu pagarina par diviem līdz pieciem gadiem pēc pārskatīšanas, kuras rezultātā ir koriģētas būtiskas novirzes no aprēķina metodes, kas bija spēkā pārskatīšanas dokumentācijas iesniegšanas laikā.</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Apstiprinājumu var atsaukt jebkurā laikā, jo īpaši pēc tam, kad ir konstatēta būtiska novirze no aprēķina metodes, kas bija spēkā novērošanas laikā, vai pēc tam, kad ir novēroti vismaz trīs trūkumi konkrētu sistēmu integrēšanā aprēķina metodē, kas ir spēkā minētā konstatējuma brīdī.</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13. pants</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Vērtībām, ko izmanto kā ievaddatus 8. pantā norādītajam aprēķinam un apraksta ēkas ģeometriskos raksturlielumus, jāatbilst būvniecības plāniem, ja ēka nav pabeigta, vai faktiski izmantotajiem daudzumiem, kad būvdarbi ir pabeigti.</w:t>
      </w:r>
      <w:r>
        <w:rPr>
          <w:rFonts w:ascii="Times New Roman" w:hAnsi="Times New Roman"/>
          <w:sz w:val="24"/>
        </w:rPr>
        <w:br/>
        <w:t>Ēkas un tās komponentu garumi, zonas vai virzieni ir daļa no datiem, kas raksturo ēkas ģeometriskos raksturlielumus.</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14. pants</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Vērtībām, ko izmanto kā ievaddatus 8. pantā norādītajam aprēķinam un apraksta ēkā izmantoto būvizstrādājumu vai iekārtu daudzumus, jāatbilst aplēstajiem daudzumiem, kas vajadzīgi ēkas būvniecībai, kad tā nav pabeigta, vai daudzumiem, kas faktiski izmantoti pēc būvdarbu pabeigšanas.</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15. pants</w:t>
      </w:r>
    </w:p>
    <w:p w14:paraId="5B4D90D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vērtības, ko izmanto kā ievaddatus 8. pantā norādītajam aprēķinam un aprakstot ēkas sastāvdaļu termiskos raksturlielumus, atbilst to komponentu raksturlielumiem, kas paredzēti ēkas būvniecībai, kad tā nav pabeigta, vai to komponentu raksturlielumiem, kas faktiski izmantoti pēc būvdarbu pabeigšanas.</w:t>
      </w:r>
      <w:r>
        <w:rPr>
          <w:rFonts w:ascii="Times New Roman" w:hAnsi="Times New Roman"/>
          <w:sz w:val="24"/>
        </w:rPr>
        <w:br/>
        <w:t>Šos termiskos raksturlielumus katram komponentam iegūst šādi:</w:t>
      </w:r>
    </w:p>
    <w:p w14:paraId="49B964E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 ja uz komponentu attiecas saskaņotās tehniskās specifikācijas, kas noteiktas 2011. gada 9. marta Regulā Nr. 305/2001, saskaņotie standarti vai Eiropas </w:t>
      </w:r>
      <w:r>
        <w:rPr>
          <w:rFonts w:ascii="Times New Roman" w:hAnsi="Times New Roman"/>
          <w:sz w:val="24"/>
        </w:rPr>
        <w:lastRenderedPageBreak/>
        <w:t>novērtējuma dokumenti, tādā gadījumā uz ražojumiem būs CE marķējums, un, ja šajās specifikācijās ir noteikta termisko raksturlielumu vērtība, tad šo vērtību izmanto saskaņā ar 8. pantā noteikto kārtību;</w:t>
      </w:r>
      <w:r>
        <w:rPr>
          <w:rFonts w:ascii="Times New Roman" w:hAnsi="Times New Roman"/>
          <w:sz w:val="24"/>
        </w:rPr>
        <w:br/>
        <w:t>- ja tas tā nav, ja siltuma raksturlielums iegūts, atsaucoties uz Francijas standartiem vai tehniskajiem atzinumiem, vai līdzvērtīgiem valsts standartiem, ko pieņēmusi Eiropas Savienības dalībvalsts vai EEZ līguma puse, vai Turcija, un tos izdevusi neatkarīga trešā persona, kas paziņota saskaņā ar Direktīvu 305/2011 un ko atzinusi Eiropas Savienības dalībvalsts vai Eiropas Ekonomikas zonas dibināšanas līguma dalībvalsts, šo vērtību izmanto saskaņā ar 8. pantā noteiktajām procedūrām. Šā noteikuma priekšrocības piemēro tikai laikposmā pirms saskaņota Eiropas standarta vai Eiropas tehniskā apstiprinājuma piemērošanas. Neatkarīgi no noapaļošanas noteikumiem, kas paredzēti šajos dažādajos standartos vai tehniskajos atzinumos, vērtība, ko izmanto kā ievades datus, nevar būt uzskatāma par noteicošāku par vērtību, kas iegūta no veiktajiem mērījumiem, ja nepieciešams.</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Ja nav iespējams iegūt raksturlielumu saskaņā ar iepriekš minētajām procedūrām, izmanto standartvērtību, kas noteikta ar 8. pantā minēto aprēķina metodi, izņemot standarta lietderīgās siltumvadītspējas vērtību bioizolācijai, kā definēts šā rīkojuma XII pielikumā.</w:t>
      </w:r>
      <w:r>
        <w:rPr>
          <w:rFonts w:ascii="Times New Roman" w:hAnsi="Times New Roman"/>
          <w:sz w:val="24"/>
        </w:rPr>
        <w:br/>
        <w:t>II. Dzīvojamās ēkās, ja ēkai nodrošina noteiktus energosistēmas uzstādīšanas darbus, jāizmanto noklusējuma dati saskaņā ar 8. pantā noteikto metodi.</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16. pants</w:t>
      </w:r>
    </w:p>
    <w:p w14:paraId="741E389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Vērtībām, ko izmanto kā ievaddatus Icconstruction un Icbuilding rādītāju aprēķināšanai, jāatbilst to sastāvdaļu raksturlielumiem, kuras plānots būvēt, kad ēka nav pabeigta, vai to komponentu raksturlielumiem, kas faktiski izmantoti pēc darbu pabeigšanas. Atkāpjoties no šā noteikuma, ir iespējams izmantot ievades atskaites punktu, kas atbilst sastāvdaļai, kuras raksturlielumi ir augstāki nekā paredzētā vai izmantotā komponenta raksturlielumi, ar noteikumu, ka tie pieder tā paša ražotāja tam pašam klāstam.</w:t>
      </w:r>
      <w:r>
        <w:rPr>
          <w:rFonts w:ascii="Times New Roman" w:hAnsi="Times New Roman"/>
          <w:sz w:val="24"/>
        </w:rPr>
        <w:br/>
        <w:t>Šīs vērtības attiecībā uz katru komponentu iegūst, pamatojoties uz vides deklarācijām, ko ražotāji padara pieejamas saskaņā ar dekrētā paredzētajiem noteikumiem, vai, ja šādu datu nav, pamatojoties uz vides datiem, ko par būvniecību atbildīgais ministrs ir padarījis pieejamus pēc noklusējuma.</w:t>
      </w:r>
      <w:r>
        <w:rPr>
          <w:rFonts w:ascii="Times New Roman" w:hAnsi="Times New Roman"/>
          <w:sz w:val="24"/>
        </w:rPr>
        <w:br/>
        <w:t>Ja par ēkas komponentu nav pieejama informācija, kas atbilst iepriekšējā punktā minētajiem raksturlielumiem, komponentu apraksta aprēķinos un ar to saista vides informāciju, kas definēta kā “tukša”; turklāt, izmantojot mājaslapu, kas norādīta par būvniecību atbildīgās ministrijas tīmekļa vietnē, tiek iesniegts pieprasījums izveidot komponentam atbilstošu standarta vides datu bāzi.</w:t>
      </w:r>
      <w:r>
        <w:rPr>
          <w:rFonts w:ascii="Times New Roman" w:hAnsi="Times New Roman"/>
          <w:sz w:val="24"/>
        </w:rPr>
        <w:br/>
        <w:t>II. Gadījumā, ja pēc ēkas nodošanas vēl jāveic noteikti darbi, šā darbu raksturošanai saskaņā ar 8. pantā noteikto metodi izmanto noklusējuma datus.</w:t>
      </w:r>
      <w:r>
        <w:rPr>
          <w:rFonts w:ascii="Times New Roman" w:hAnsi="Times New Roman"/>
          <w:sz w:val="24"/>
        </w:rPr>
        <w:br/>
        <w:t>III. Attiecībā uz dažiem būvkomponentu kopumiem un atkarībā no ēkas izmantošanas ir iespējams, aizstājot šā panta I un II punktā minētās prasības, aprakstīt to ietekmi uz klimata pārmaiņām, izmantojot fiksētas vērtības. Attiecīgo komponentu kopas un atbilstošās vērtības ir norādītas XI pielikumā.</w:t>
      </w:r>
      <w:r>
        <w:rPr>
          <w:rFonts w:ascii="Times New Roman" w:hAnsi="Times New Roman"/>
          <w:sz w:val="24"/>
        </w:rPr>
        <w:br/>
        <w:t xml:space="preserve">IV. Dati, ko var izmantot saskaņā ar šā panta I punktu, ir dati, kas pieejami Icconstruction, Icded un Icbuilding rādītāju aprēķina pabeigšanas dienā. Tomēr, ja </w:t>
      </w:r>
      <w:r>
        <w:rPr>
          <w:rFonts w:ascii="Times New Roman" w:hAnsi="Times New Roman"/>
          <w:sz w:val="24"/>
        </w:rPr>
        <w:lastRenderedPageBreak/>
        <w:t>dati ir izmantoti šo rādītāju iepriekšējā aprēķinā, pēc tam atjaunināti vai izdzēsti, tie paliek izmantojami saskaņā ar šā panta I punktā izklāstītajiem nosacījumiem.</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17. pants</w:t>
      </w:r>
    </w:p>
    <w:p w14:paraId="765CA2F0" w14:textId="5E73599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w:t>
      </w:r>
      <w:r w:rsidR="00D26630">
        <w:rPr>
          <w:rFonts w:ascii="Times New Roman" w:hAnsi="Times New Roman"/>
          <w:sz w:val="24"/>
        </w:rPr>
        <w:t xml:space="preserve">  </w:t>
      </w:r>
      <w:r>
        <w:rPr>
          <w:rFonts w:ascii="Times New Roman" w:hAnsi="Times New Roman"/>
          <w:sz w:val="24"/>
        </w:rPr>
        <w:t xml:space="preserve"> Ēkas gaisa caurlaidības vērtību iegūst:</w:t>
      </w:r>
    </w:p>
    <w:p w14:paraId="5AE3B909" w14:textId="50A0A21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577E61">
        <w:rPr>
          <w:rFonts w:ascii="Times New Roman" w:hAnsi="Times New Roman"/>
          <w:sz w:val="24"/>
        </w:rPr>
        <w:t>-</w:t>
      </w:r>
      <w:r>
        <w:rPr>
          <w:rFonts w:ascii="Times New Roman" w:hAnsi="Times New Roman"/>
          <w:sz w:val="24"/>
        </w:rPr>
        <w:t> dzīvojamajām ēkām </w:t>
      </w:r>
      <w:r w:rsidR="00D26630">
        <w:rPr>
          <w:rFonts w:ascii="Times New Roman" w:hAnsi="Times New Roman"/>
          <w:sz w:val="24"/>
        </w:rPr>
        <w:t>-</w:t>
      </w:r>
      <w:r>
        <w:rPr>
          <w:rFonts w:ascii="Times New Roman" w:hAnsi="Times New Roman"/>
          <w:sz w:val="24"/>
        </w:rPr>
        <w:t xml:space="preserve"> vai nu mērot, vai pieņemot kvalitatīvu pieeju ēkas hermētiskumam saskaņā ar procedūrām, kas noteiktas šā rīkojuma VII pielikumā;</w:t>
      </w:r>
      <w:r>
        <w:rPr>
          <w:rFonts w:ascii="Times New Roman" w:hAnsi="Times New Roman"/>
          <w:sz w:val="24"/>
        </w:rPr>
        <w:br/>
      </w:r>
      <w:r w:rsidR="00577E61">
        <w:rPr>
          <w:rFonts w:ascii="Times New Roman" w:hAnsi="Times New Roman"/>
          <w:sz w:val="24"/>
        </w:rPr>
        <w:t>-</w:t>
      </w:r>
      <w:r>
        <w:rPr>
          <w:rFonts w:ascii="Times New Roman" w:hAnsi="Times New Roman"/>
          <w:sz w:val="24"/>
        </w:rPr>
        <w:t> cita veida ēkām ēkas gaisa caurlaidības vērtību var pamatot ar mērījumiem saskaņā ar šā rīkojuma VII pielikumā noteiktajām metodēm. Ja mērījumi nav veikti saskaņā ar šīm metodēm, kā vērtību izmanto noklusējuma vērtību, kas noteikta ar 8. pantā minēto aprēķina metodi.</w:t>
      </w:r>
    </w:p>
    <w:p w14:paraId="6D3E852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Ja caurlaidības mērījumus veic, izmantojot paraugu ņemšanu, iegūtās mērījumu vērtības reizina ar 1,2.</w:t>
      </w:r>
      <w:r>
        <w:rPr>
          <w:rFonts w:ascii="Times New Roman" w:hAnsi="Times New Roman"/>
          <w:sz w:val="24"/>
        </w:rPr>
        <w:br/>
        <w:t>Gadījumā, ja darbs, kas var ietekmēt mājokļu gaisa caurlaidību, ir jāveic pēc piegādes un ja nav rezervācijas, kas novērstu noplūžu izveidi šā darba laikā, iegūtās caurlaidības vērtības palielina par 0,3 m³/(h.m²).</w:t>
      </w:r>
      <w:r>
        <w:rPr>
          <w:rFonts w:ascii="Times New Roman" w:hAnsi="Times New Roman"/>
          <w:sz w:val="24"/>
        </w:rPr>
        <w:br/>
        <w:t>Šie divi palielinājumi šādā secībā ir kumulatīvi.</w:t>
      </w:r>
      <w:r>
        <w:rPr>
          <w:rFonts w:ascii="Times New Roman" w:hAnsi="Times New Roman"/>
          <w:sz w:val="24"/>
        </w:rPr>
        <w:br/>
        <w:t>II. Visu ēku gaisa plūsmas tīklu caurlaidības vērtību iegūst vai nu mērot, vai izmantojot kvalitātes pieeju gaisa plūsmas tīklu hermētiskumam saskaņā ar šā rīkojuma VII pielikumā noteiktajām procedūrām. Ja nav mērījumu un kvalitātes pieejas saskaņā ar šīm metodēm, izmanto standartvērtību, kas noteikta ar 8. pantā minēto aprēķina metodi.</w:t>
      </w:r>
      <w:r>
        <w:rPr>
          <w:rFonts w:ascii="Times New Roman" w:hAnsi="Times New Roman"/>
          <w:sz w:val="24"/>
        </w:rPr>
        <w:br/>
        <w:t>Ja ēkas gaisa caurlaidība vai gaisa plūsmas tīklu caurlaidība ir pamatota ar mērījumiem, mērījumu veicējs ir persona, ko par būvniecību atbildīgais ministrs ir atzinis par kompetentu, neatkarīgi no attiecīgo ēku izpildē vai projektu pārvaldībā iesaistītā pieteikuma iesniedzēja un organizācijām.</w:t>
      </w:r>
    </w:p>
    <w:p w14:paraId="128819AB" w14:textId="202FD1F8"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 nodaļa</w:t>
      </w:r>
      <w:r w:rsidR="00FE62F2">
        <w:rPr>
          <w:rFonts w:ascii="Times New Roman" w:hAnsi="Times New Roman"/>
          <w:b/>
          <w:sz w:val="24"/>
        </w:rPr>
        <w:t>:</w:t>
      </w:r>
      <w:r>
        <w:rPr>
          <w:rFonts w:ascii="Times New Roman" w:hAnsi="Times New Roman"/>
          <w:b/>
          <w:sz w:val="24"/>
        </w:rPr>
        <w:t xml:space="preserve"> PRASĪBU PIEMĒROŠANAS PAMATOJUMS (18. pants)</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18. pants</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Vēlākais pēc darbu pabeigšanas ēkas īpašnieks sagatavo standartizētu digitālu kopsavilkumu par enerģijas un vides pētījumu, izmantojot 12. panta prasībām atbilstošu programmatūru.</w:t>
      </w:r>
      <w:r>
        <w:rPr>
          <w:rFonts w:ascii="Times New Roman" w:hAnsi="Times New Roman"/>
          <w:sz w:val="24"/>
        </w:rPr>
        <w:br/>
        <w:t>Sagatavojamā enerģijas un vides pētījuma standartizētā kopsavilkuma saturs un formāts ir izklāstīti VI pielikumā.</w:t>
      </w:r>
      <w:r>
        <w:rPr>
          <w:rFonts w:ascii="Times New Roman" w:hAnsi="Times New Roman"/>
          <w:sz w:val="24"/>
        </w:rPr>
        <w:br/>
        <w:t>Ja šā rīkojuma IV sadaļā ir noteikts, ka šā rīkojuma prasības tiek piemērotas saskaņā ar apstiprinātu vienkāršotu procesu vai piemērošanas veidu, vienkāršotajā procesā vai piemērošanas veidā norāda izveidojamā enerģijas un vides pētījuma standartizētā kopsavilkuma saturu un formātu.</w:t>
      </w:r>
      <w:r>
        <w:rPr>
          <w:rFonts w:ascii="Times New Roman" w:hAnsi="Times New Roman"/>
          <w:sz w:val="24"/>
        </w:rPr>
        <w:br/>
        <w:t>Šos datus saglabā un nosūta ēkas īpašnieks saskaņā ar Būvniecības un mājokļu kodeksa R. 172-8. pantu.</w:t>
      </w:r>
    </w:p>
    <w:p w14:paraId="05FDD083" w14:textId="1D0B811C"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III sadaļa LĪDZEKĻU TERMISKĀS PAZĪMES UN PRASĪBAS (KATRAM KOMPONENTAM) (19.</w:t>
      </w:r>
      <w:r w:rsidR="00577E61">
        <w:rPr>
          <w:rFonts w:ascii="Times New Roman" w:hAnsi="Times New Roman"/>
          <w:b/>
          <w:sz w:val="27"/>
        </w:rPr>
        <w:t>-</w:t>
      </w:r>
      <w:r>
        <w:rPr>
          <w:rFonts w:ascii="Times New Roman" w:hAnsi="Times New Roman"/>
          <w:b/>
          <w:sz w:val="27"/>
        </w:rPr>
        <w:t>40. pants)</w:t>
      </w:r>
    </w:p>
    <w:p w14:paraId="7534EF07" w14:textId="0140C14E"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VII nodaļa VEIKTSPĒJAS PĀRBAUDE PĒC BŪVNIECĪBAS (19.</w:t>
      </w:r>
      <w:r w:rsidR="00577E61">
        <w:rPr>
          <w:rFonts w:ascii="Times New Roman" w:hAnsi="Times New Roman"/>
          <w:b/>
          <w:sz w:val="24"/>
        </w:rPr>
        <w:t>-</w:t>
      </w:r>
      <w:r>
        <w:rPr>
          <w:rFonts w:ascii="Times New Roman" w:hAnsi="Times New Roman"/>
          <w:b/>
          <w:sz w:val="24"/>
        </w:rPr>
        <w:t>20. pants)</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19. pants</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Savrupmājām vai blakus esošām ēkām un kolektīvām dzīvojamajām ēkām norobežojošo konstrukciju gaisa caurlaidība zem 4 Pa, Q4Pa-surf, ko nosaka saskaņā ar 17. pantu, ir mazāka par vai vienāda ar:</w:t>
      </w:r>
      <w:r>
        <w:rPr>
          <w:rFonts w:ascii="Times New Roman" w:hAnsi="Times New Roman"/>
          <w:sz w:val="24"/>
        </w:rPr>
        <w:br/>
        <w:t>0,60 m³/(h.m²) no noplicinātām sienām, izņemot zemo grīdu, savrupmājās vai blakus esošajās ēkās.</w:t>
      </w:r>
      <w:r>
        <w:rPr>
          <w:rFonts w:ascii="Times New Roman" w:hAnsi="Times New Roman"/>
          <w:sz w:val="24"/>
        </w:rPr>
        <w:br/>
        <w:t>1,00 m³/(h.m²) no zudumizturīgām sienām, izņemot zemo grīdu, kolektīvā dzīvojamajā ēkā.</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20. pants</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Lai dzīvojamās ēkās un ēku daļās nodrošinātu jebkuru ēkas ventilācijas sistēmu pareizu darbību, to pārbauda un tās darbību mēra persona, ko par būvniecību atbildīgais ministrs ir atzinis par kompetentu saskaņā ar VIII pielikuma noteikumiem. Ir jānodrošina atbilstība tajā pašā pielikumā minētajam ventilācijas sistēmas pārbaudes protokolam.</w:t>
      </w:r>
    </w:p>
    <w:p w14:paraId="5A8D543E" w14:textId="64DDCBDC"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VIII nodaļa</w:t>
      </w:r>
      <w:r w:rsidR="00761B77">
        <w:rPr>
          <w:rFonts w:ascii="Times New Roman" w:hAnsi="Times New Roman"/>
          <w:b/>
          <w:sz w:val="24"/>
        </w:rPr>
        <w:t>:</w:t>
      </w:r>
      <w:r>
        <w:rPr>
          <w:rFonts w:ascii="Times New Roman" w:hAnsi="Times New Roman"/>
          <w:b/>
          <w:sz w:val="24"/>
        </w:rPr>
        <w:t xml:space="preserve"> TERMISKĀ IZOLĀCIJA (21.</w:t>
      </w:r>
      <w:r w:rsidR="00577E61">
        <w:rPr>
          <w:rFonts w:ascii="Times New Roman" w:hAnsi="Times New Roman"/>
          <w:b/>
          <w:sz w:val="24"/>
        </w:rPr>
        <w:t>-</w:t>
      </w:r>
      <w:r>
        <w:rPr>
          <w:rFonts w:ascii="Times New Roman" w:hAnsi="Times New Roman"/>
          <w:b/>
          <w:sz w:val="24"/>
        </w:rPr>
        <w:t>22. pants)</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21. pants</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Starpsienām, kas atdala nepārtraukti apdzīvotās ēkas daļas no ēkas pārtraukti apdzīvotajām daļām, jābūt ar siltuma caurlaidības koeficientu U, kā noteikts 8. pantā minētajā aprēķina metodē, kas nedrīkst pārsniegt vidējo vērtību 0,36 W/(m².K). Šeit aplūkotais virsmas laukums ir iepriekš minēto starpsienu virsmas laukums.</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22. pants</w:t>
      </w:r>
    </w:p>
    <w:p w14:paraId="3B7CB3F1" w14:textId="3287049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Lai novērstu materiāla fiziskas vai mikrobioloģiskas noārdīšanās risku, piemēram, izolācijas blīvēšanos vai pelējuma veidošanos, jebkura ēka vai ēkas daļa jāprojektē un jākonstruē tā, lai normālos apdzīvotības apstākļos izvairītos no situācijas, kas var izraisīt kondensācijas parādīšanos uz virsmas vai sienas iekšpusē vai nu vienā gadījumā, vai izkliedētā veidā, izņemot gadījumus, kad šāda kondensācija nav tikai īslaicīga.</w:t>
      </w:r>
      <w:r>
        <w:rPr>
          <w:rFonts w:ascii="Times New Roman" w:hAnsi="Times New Roman"/>
          <w:sz w:val="24"/>
        </w:rPr>
        <w:br/>
        <w:t>Šajā nolūkā tā atbilst vienai no šā panta I vai II punkta prasībām:</w:t>
      </w:r>
      <w:r>
        <w:rPr>
          <w:rFonts w:ascii="Times New Roman" w:hAnsi="Times New Roman"/>
          <w:sz w:val="24"/>
        </w:rPr>
        <w:br/>
        <w:t xml:space="preserve">I. </w:t>
      </w:r>
      <w:r w:rsidR="00761B77">
        <w:rPr>
          <w:rFonts w:ascii="Times New Roman" w:hAnsi="Times New Roman"/>
          <w:sz w:val="24"/>
        </w:rPr>
        <w:t>-</w:t>
      </w:r>
      <w:r>
        <w:rPr>
          <w:rFonts w:ascii="Times New Roman" w:hAnsi="Times New Roman"/>
          <w:sz w:val="24"/>
        </w:rPr>
        <w:t>Virsmas temperatūra ziemas apstākļos uz kailas izolācijas un uz kailas izolācijas iekšpusē ir zemāka par 15 °C jebkurā vietā uz šīm virsmām.</w:t>
      </w:r>
      <w:r>
        <w:rPr>
          <w:rFonts w:ascii="Times New Roman" w:hAnsi="Times New Roman"/>
          <w:sz w:val="24"/>
        </w:rPr>
        <w:br/>
        <w:t xml:space="preserve">II. </w:t>
      </w:r>
      <w:r w:rsidR="00761B77">
        <w:rPr>
          <w:rFonts w:ascii="Times New Roman" w:hAnsi="Times New Roman"/>
          <w:sz w:val="24"/>
        </w:rPr>
        <w:t>-</w:t>
      </w:r>
      <w:r>
        <w:rPr>
          <w:rFonts w:ascii="Times New Roman" w:hAnsi="Times New Roman"/>
          <w:sz w:val="24"/>
        </w:rPr>
        <w:t>Vienlaikus tiek nodrošināta atbilstība šādām prasībām:</w:t>
      </w:r>
    </w:p>
    <w:p w14:paraId="3A1005B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ēkas termisko tiltu vidējais lineārais siltumpārvades koeficients ψ nedrīkst pārsniegt 0,33 W/(m²Sref.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Šī attiecība atspoguļo visu ēku termisko tiltu siltuma zudumus attiecībā pret ēkas atskaites platību. To nosaka saskaņā ar 8. pantā minēto aprēķina metodi.</w:t>
      </w:r>
    </w:p>
    <w:p w14:paraId="32C3A6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Vidējais lineārais siltuma pārneses koeficients savienojumiem starp vidējiem stāviem un ārsienām vai sienām, kas atrodas neapkurinātās telpās, Ψ 9, nepārsniedz 0,6 W/(lineārais m. K).</w:t>
      </w:r>
    </w:p>
    <w:p w14:paraId="16DE076D" w14:textId="00C7A964"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IX nodaļa</w:t>
      </w:r>
      <w:r w:rsidR="00761B77">
        <w:rPr>
          <w:rFonts w:ascii="Times New Roman" w:hAnsi="Times New Roman"/>
          <w:b/>
          <w:sz w:val="24"/>
        </w:rPr>
        <w:t>:</w:t>
      </w:r>
      <w:r>
        <w:rPr>
          <w:rFonts w:ascii="Times New Roman" w:hAnsi="Times New Roman"/>
          <w:b/>
          <w:sz w:val="24"/>
        </w:rPr>
        <w:t xml:space="preserve"> PIEKĻUVE DABĪGAM APGAISMOJUMAM (23. pants)</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23. pants</w:t>
      </w:r>
    </w:p>
    <w:p w14:paraId="6019846A" w14:textId="2A69C3C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Lai nodrošinātu pietiekamu dabīgo apgaismojumu un skatu uz ārpusi, dzīvojamās ēkas atbilst vienai no šā panta I vai II punktā noteiktajām prasībām.</w:t>
      </w:r>
      <w:r>
        <w:rPr>
          <w:rFonts w:ascii="Times New Roman" w:hAnsi="Times New Roman"/>
          <w:sz w:val="24"/>
        </w:rPr>
        <w:br/>
        <w:t xml:space="preserve">I. </w:t>
      </w:r>
      <w:r w:rsidR="00761B77">
        <w:rPr>
          <w:rFonts w:ascii="Times New Roman" w:hAnsi="Times New Roman"/>
          <w:sz w:val="24"/>
        </w:rPr>
        <w:t xml:space="preserve">- </w:t>
      </w:r>
      <w:r>
        <w:rPr>
          <w:rFonts w:ascii="Times New Roman" w:hAnsi="Times New Roman"/>
          <w:sz w:val="24"/>
        </w:rPr>
        <w:t>Katrai dzīvesvietai ir visas šīs īpašības:</w:t>
      </w:r>
    </w:p>
    <w:p w14:paraId="4DF9AF2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dzīvojamo platību apgaismojuma līmenis ilgāk nekā pusi no gada dienasgaismas stundām ir vismaz 300 luksu 50 %, izņemot īslaicīgi apdzīvotas telpas;</w:t>
      </w:r>
      <w:r>
        <w:rPr>
          <w:rFonts w:ascii="Times New Roman" w:hAnsi="Times New Roman"/>
          <w:sz w:val="24"/>
        </w:rPr>
        <w:br/>
        <w:t>- dzīvojamo platību apgaismojuma līmenis ilgāk nekā pusi no gada dienasgaismas stundām ir vismaz 100 luksu 95 %, izņemot īslaicīgi apdzīvotas telpas;</w:t>
      </w:r>
      <w:r>
        <w:rPr>
          <w:rFonts w:ascii="Times New Roman" w:hAnsi="Times New Roman"/>
          <w:sz w:val="24"/>
        </w:rPr>
        <w:br/>
        <w:t>- vismaz vienā dzīvojamā zonā iemītniekam Ēku un mājokļu kodeksa R. 111-1. panta nozīmē vismaz 1 metra attālumā no fasādes ir skats uz ārpusi, ietverot gan debesis, gan horizontu.</w:t>
      </w:r>
    </w:p>
    <w:p w14:paraId="7EC11A12" w14:textId="2266D7D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761B77">
        <w:rPr>
          <w:rFonts w:ascii="Times New Roman" w:hAnsi="Times New Roman"/>
          <w:sz w:val="24"/>
        </w:rPr>
        <w:t xml:space="preserve">- </w:t>
      </w:r>
      <w:r>
        <w:rPr>
          <w:rFonts w:ascii="Times New Roman" w:hAnsi="Times New Roman"/>
          <w:sz w:val="24"/>
        </w:rPr>
        <w:t>Atveru kopējais virsmas laukums, mērot tabulā, ir lielāks par 1/6 no atskaites laukuma vai vienāds ar to.</w:t>
      </w:r>
      <w:r>
        <w:rPr>
          <w:rFonts w:ascii="Times New Roman" w:hAnsi="Times New Roman"/>
          <w:sz w:val="24"/>
        </w:rPr>
        <w:br/>
        <w:t>Ja ēkas fasādes pieejamā platība ir mazāka par pusi no ēkas dzīvojamās platības vai ja dzīvojamās ēkas vidējā dzīvojamā platība ir mazāka par 25 m², iepriekšējo prasību vietā tās kopējā atvēršanas platība, mērot tabulā, var būt lielāka vai vienāda ar vienu trešdaļu no fasādes pieejamās virsmas.</w:t>
      </w:r>
      <w:r>
        <w:rPr>
          <w:rFonts w:ascii="Times New Roman" w:hAnsi="Times New Roman"/>
          <w:sz w:val="24"/>
        </w:rPr>
        <w:br/>
        <w:t>Šo pantu nepiemēro gadījumos, kad tā ievērošana būtu pretrunā plānošanas atļaujām aizsargājamās teritorijās, arhitektūras, pilsētu un ainavu mantojuma aizsardzības zonās vai veicinātās arhitektūras un mantojuma teritorijās, vēsturisko pieminekļu apkārtnē, reģistrētās un klasificētās vietās, UNESCO pasaules mantojuma sarakstā iekļautās vietās vai jebkādā citā saglabāšanā, ko noteikušas vietējās iestādes, kā arī vietās un nozarēs, kas noteiktas saskaņā ar Pilsētplānošanas kodeksa L. 151-19. pantu.</w:t>
      </w:r>
    </w:p>
    <w:p w14:paraId="51121980" w14:textId="670C89DC"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 nodaļa</w:t>
      </w:r>
      <w:r w:rsidR="00A94710">
        <w:rPr>
          <w:rFonts w:ascii="Times New Roman" w:hAnsi="Times New Roman"/>
          <w:b/>
          <w:sz w:val="24"/>
        </w:rPr>
        <w:t>:</w:t>
      </w:r>
      <w:r>
        <w:rPr>
          <w:rFonts w:ascii="Times New Roman" w:hAnsi="Times New Roman"/>
          <w:b/>
          <w:sz w:val="24"/>
        </w:rPr>
        <w:t xml:space="preserve"> VASARAS ĒRTĪBAS (24.</w:t>
      </w:r>
      <w:r w:rsidR="00577E61">
        <w:rPr>
          <w:rFonts w:ascii="Times New Roman" w:hAnsi="Times New Roman"/>
          <w:b/>
          <w:sz w:val="24"/>
        </w:rPr>
        <w:t>-</w:t>
      </w:r>
      <w:r>
        <w:rPr>
          <w:rFonts w:ascii="Times New Roman" w:hAnsi="Times New Roman"/>
          <w:b/>
          <w:sz w:val="24"/>
        </w:rPr>
        <w:t>25. pants)</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24. pants</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Izņemot īslaicīgi apdzīvotās telpās esošās atveres, atveru saules faktors ir mazāks par vai vienāds ar tālāk tabulā noteikto saules enerģijas koeficientu, un saules ēnojuma ierīci, ja tāda ir, ņemot vērā pilnībā paplašinātu pozīciju.</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7"/>
        <w:gridCol w:w="2072"/>
        <w:gridCol w:w="2291"/>
        <w:gridCol w:w="2306"/>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Visi augstumi virs jūras līmeņa</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H1a, H1b un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Augstums virs jūras līmeņa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Augstums virs jūras līmeņa &lt; vai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H1c un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Augstums virs jūras līmeņa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Augstums virs jūras līmeņa &lt; vai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H2d un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Augstums virs jūras līmeņa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Augstums virs jūras līmeņa &lt; vai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BR1 atklātās atveres — guļamtelpas</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Uz ziemeļiem vērsts vertikāls atvērums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Uz ziemeļiem nevērsts vertikāls atvērums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Horizontālā atvere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 BR2 vai BR3 atklātās atveres — guļamtelpas</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Uz ziemeļiem vērsts vertikāls atvērums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Uz ziemeļiem nevērsts vertikāls atvērums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Horizontālā atvere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3. BR1 atklātās atveres — izņemot guļamtelpās</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Uz ziemeļiem nevērsts vertikāls atvērums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Horizontālā atvere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br/>
              <w:t>4. Atklātās atveres — BR2 vai BR3, izņemot guļamtelpās</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Uz ziemeļiem nevērsts vertikāls atvērums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Horizontālā atvere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Atverēm, kas laikā no aprīļa līdz oktobrim nav pakļautas tiešiem saules stariem, jo saules ēnojums ir tālu, var piemērot prasības tikai uz ziemeļiem vērstām atverēm.</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25. pants</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Atverēm tajā pašā telpā, izņemot īslaicīgi apdzīvotas telpas, jābūt atvērtām vismaz 30 % no to platības, ja vien to neaizliedz higiēnas vai drošības noteikumi.</w:t>
      </w:r>
      <w:r>
        <w:rPr>
          <w:rFonts w:ascii="Times New Roman" w:hAnsi="Times New Roman"/>
          <w:sz w:val="24"/>
        </w:rPr>
        <w:br/>
        <w:t>Šo ierobežojumu samazina līdz 10 % tām telpām, kurās augstuma starpība starp zemākā atvēruma zemāko punktu un augstāko atvēruma punktu ir vienāda ar vai lielāka par 4 m.</w:t>
      </w:r>
    </w:p>
    <w:p w14:paraId="3C66D63E" w14:textId="6711B268"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 nodaļa</w:t>
      </w:r>
      <w:r w:rsidR="00A94710">
        <w:rPr>
          <w:rFonts w:ascii="Times New Roman" w:hAnsi="Times New Roman"/>
          <w:b/>
          <w:sz w:val="24"/>
        </w:rPr>
        <w:t>:</w:t>
      </w:r>
      <w:r>
        <w:rPr>
          <w:rFonts w:ascii="Times New Roman" w:hAnsi="Times New Roman"/>
          <w:b/>
          <w:sz w:val="24"/>
        </w:rPr>
        <w:t xml:space="preserve"> ENERĢIJAS PATĒRIŅŠ (26.</w:t>
      </w:r>
      <w:r w:rsidR="00577E61">
        <w:rPr>
          <w:rFonts w:ascii="Times New Roman" w:hAnsi="Times New Roman"/>
          <w:b/>
          <w:sz w:val="24"/>
        </w:rPr>
        <w:t>-</w:t>
      </w:r>
      <w:r>
        <w:rPr>
          <w:rFonts w:ascii="Times New Roman" w:hAnsi="Times New Roman"/>
          <w:b/>
          <w:sz w:val="24"/>
        </w:rPr>
        <w:t>28. pants)</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26. pants</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Jebkādu automatizāciju, kuras rezultātā palielinās enerģijas patēriņš:</w:t>
      </w:r>
    </w:p>
    <w:p w14:paraId="56C2F6B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projektē un īsteno tā, lai automatizācija tiktu aktivizēta tikai vajadzības gadījumā;</w:t>
      </w:r>
      <w:r>
        <w:rPr>
          <w:rFonts w:ascii="Times New Roman" w:hAnsi="Times New Roman"/>
          <w:sz w:val="24"/>
        </w:rPr>
        <w:br/>
        <w:t>- ieplāno vai ieprogrammē tā, lai automātiski apturētu enerģijas patēriņa pieaugumu, tiklīdz tas vairs nav vajadzīgs;</w:t>
      </w:r>
      <w:r>
        <w:rPr>
          <w:rFonts w:ascii="Times New Roman" w:hAnsi="Times New Roman"/>
          <w:sz w:val="24"/>
        </w:rPr>
        <w:br/>
        <w:t>- var pielāgot topošais ēkas vadītājs atbilstoši ēkas noslogojuma apstākļiem.</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Automatizācija ļauj automātiski iedarbināt mākslīgo apgaismojumu mājās, birojos, sanāksmju telpās, klasēs un daudzfunkcionālās telpās mazāk nekā 6 stundas iepriekš tikai pēc iedzīvotāja manuālas darbības attiecīgajā telpā vai tās tiešā tuvumā.</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27. pants</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Dzīvojamās ēkas vai to daļas ir aprīkotas ar sistēmām, kas ļauj izmērīt vai novērtēt enerģijas patēriņu katrā dzīvesvietā, izņemot atsevišķu koka sistēmu patēriņu savrupmājās vai blakus esošajās ēkās.</w:t>
      </w:r>
      <w:r>
        <w:rPr>
          <w:rFonts w:ascii="Times New Roman" w:hAnsi="Times New Roman"/>
          <w:sz w:val="24"/>
        </w:rPr>
        <w:br/>
        <w:t>Kolektīvas enerģijas ražošanas gadījumā ar “mājokļa patērēto enerģiju” saprot daļu no kopējā enerģijas patēriņa, kas atvēlēts šim mājoklim saskaņā ar sadales principu, ko nosaka ēkas īpašnieks ēkas būvniecības laikā.</w:t>
      </w:r>
      <w:r>
        <w:rPr>
          <w:rFonts w:ascii="Times New Roman" w:hAnsi="Times New Roman"/>
          <w:sz w:val="24"/>
        </w:rPr>
        <w:br/>
      </w:r>
      <w:r>
        <w:rPr>
          <w:rFonts w:ascii="Times New Roman" w:hAnsi="Times New Roman"/>
          <w:sz w:val="24"/>
        </w:rPr>
        <w:lastRenderedPageBreak/>
        <w:t>Šīs sistēmas sniedz iespēju vismaz reizi mēnesī informēt iedzīvotājus par viņu enerģijas patēriņu.</w:t>
      </w:r>
      <w:r>
        <w:rPr>
          <w:rFonts w:ascii="Times New Roman" w:hAnsi="Times New Roman"/>
          <w:sz w:val="24"/>
        </w:rPr>
        <w:br/>
        <w:t>Šo informāciju sniedz dzīvojamajā telpā pēc enerģijas veida, iedalot to vismaz šādi:</w:t>
      </w:r>
    </w:p>
    <w:p w14:paraId="4891DCE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sildīšana;</w:t>
      </w:r>
      <w:r>
        <w:rPr>
          <w:rFonts w:ascii="Times New Roman" w:hAnsi="Times New Roman"/>
          <w:sz w:val="24"/>
        </w:rPr>
        <w:br/>
        <w:t>- dzesēšana;</w:t>
      </w:r>
      <w:r>
        <w:rPr>
          <w:rFonts w:ascii="Times New Roman" w:hAnsi="Times New Roman"/>
          <w:sz w:val="24"/>
        </w:rPr>
        <w:br/>
        <w:t>- mājsaimniecības karstā ūdens ražošana;</w:t>
      </w:r>
      <w:r>
        <w:rPr>
          <w:rFonts w:ascii="Times New Roman" w:hAnsi="Times New Roman"/>
          <w:sz w:val="24"/>
        </w:rPr>
        <w:br/>
        <w:t>- elektrotīkla kontaktligzdas;</w:t>
      </w:r>
      <w:r>
        <w:rPr>
          <w:rFonts w:ascii="Times New Roman" w:hAnsi="Times New Roman"/>
          <w:sz w:val="24"/>
        </w:rPr>
        <w:br/>
        <w:t>- pārējie vienumi.</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Šā iedalījuma pamatā var būt vai nu izmērītie dati, vai aplēstie dati, kas balstīti uz iepriekš noteiktiem iestatījumiem.</w:t>
      </w:r>
      <w:r>
        <w:rPr>
          <w:rFonts w:ascii="Times New Roman" w:hAnsi="Times New Roman"/>
          <w:sz w:val="24"/>
        </w:rPr>
        <w:br/>
        <w:t>Tomēr projekta īpašnieka gadījumā, kurš ir arī topošais namīpašnieks un izbūvētās ēkas iznomātājs; it īpaši sociālo īres mājokļu īpašnieki, šo informāciju var sniegt iemītniekiem vismaz reizi mēnesī, izmantojot elektroniskos vai pasta līdzekļus, nevis tieši dzīvojamajā telpā.</w:t>
      </w:r>
      <w:r>
        <w:rPr>
          <w:rFonts w:ascii="Times New Roman" w:hAnsi="Times New Roman"/>
          <w:sz w:val="24"/>
        </w:rPr>
        <w:br/>
        <w:t>Pierādījumus par šī panta ņemšanu vērā sniedz saskaņā ar pamatnostādnēm par mājokļu patēriņa mērīšanas vai aplēšu sistēmām, kurās precizē procedūras tā piemērošanai.</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28. pants</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Nedzīvojamās ēkas vai to daļas aprīko ar sistēmām, kas ļauj izmērīt vai aprēķināt enerģijas patēriņu:</w:t>
      </w:r>
    </w:p>
    <w:p w14:paraId="16BE002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apkurei: uz katriem 500 m² attiecīgās virsmas laukuma vai uz katru elektrisko paneli, vai par katru stāvu, vai par katru tiešās izejas kabeli;</w:t>
      </w:r>
      <w:r>
        <w:rPr>
          <w:rFonts w:ascii="Times New Roman" w:hAnsi="Times New Roman"/>
          <w:sz w:val="24"/>
        </w:rPr>
        <w:br/>
        <w:t>- dzesēšanai: uz katriem 500 m² attiecīgās virsmas laukuma vai par katru elektrisko paneli, vai par katru stāvu, vai par katru tiešās izejas kabeli;</w:t>
      </w:r>
      <w:r>
        <w:rPr>
          <w:rFonts w:ascii="Times New Roman" w:hAnsi="Times New Roman"/>
          <w:sz w:val="24"/>
        </w:rPr>
        <w:br/>
        <w:t>- mājsaimniecības karstā ūdens ražošanai;</w:t>
      </w:r>
      <w:r>
        <w:rPr>
          <w:rFonts w:ascii="Times New Roman" w:hAnsi="Times New Roman"/>
          <w:sz w:val="24"/>
        </w:rPr>
        <w:br/>
        <w:t>- apgaismojumam: uz katriem 500 m² attiecīgā virsmas laukuma vai par katru elektrisko paneli, vai par katru stāvu;</w:t>
      </w:r>
      <w:r>
        <w:rPr>
          <w:rFonts w:ascii="Times New Roman" w:hAnsi="Times New Roman"/>
          <w:sz w:val="24"/>
        </w:rPr>
        <w:br/>
        <w:t>- elektrorozešu tīklam: katriem 500 m² attiecīgās virsmas laukuma segmentiem vai katram elektriskajam panelim, vai katram stāvam;</w:t>
      </w:r>
      <w:r>
        <w:rPr>
          <w:rFonts w:ascii="Times New Roman" w:hAnsi="Times New Roman"/>
          <w:sz w:val="24"/>
        </w:rPr>
        <w:br/>
        <w:t>- ventilācijas iekārtām: par katru vienību;</w:t>
      </w:r>
      <w:r>
        <w:rPr>
          <w:rFonts w:ascii="Times New Roman" w:hAnsi="Times New Roman"/>
          <w:sz w:val="24"/>
        </w:rPr>
        <w:br/>
        <w:t>- katrai tiešajai izejai, kas lielāka par 80 ampēriem.</w:t>
      </w:r>
    </w:p>
    <w:p w14:paraId="121932A9" w14:textId="0A4F0BE2"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XII nodaļa</w:t>
      </w:r>
      <w:r w:rsidR="0005690E">
        <w:rPr>
          <w:rFonts w:ascii="Times New Roman" w:hAnsi="Times New Roman"/>
          <w:b/>
          <w:sz w:val="24"/>
        </w:rPr>
        <w:t>:</w:t>
      </w:r>
      <w:r>
        <w:rPr>
          <w:rFonts w:ascii="Times New Roman" w:hAnsi="Times New Roman"/>
          <w:b/>
          <w:sz w:val="24"/>
        </w:rPr>
        <w:t xml:space="preserve"> APKURE UN DZESĒŠANA (29.</w:t>
      </w:r>
      <w:r w:rsidR="00577E61">
        <w:rPr>
          <w:rFonts w:ascii="Times New Roman" w:hAnsi="Times New Roman"/>
          <w:b/>
          <w:sz w:val="24"/>
        </w:rPr>
        <w:t>-</w:t>
      </w:r>
      <w:r>
        <w:rPr>
          <w:rFonts w:ascii="Times New Roman" w:hAnsi="Times New Roman"/>
          <w:b/>
          <w:sz w:val="24"/>
        </w:rPr>
        <w:t>34. pants)</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29. pants</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Katrā nodrošinātajā telpā jābūt vienai vai vairākām sildierīcēm, ko var manuāli apturēt vai automātiski noregulēt atbilstoši temperatūrai telpā.</w:t>
      </w:r>
      <w:r>
        <w:rPr>
          <w:rFonts w:ascii="Times New Roman" w:hAnsi="Times New Roman"/>
          <w:sz w:val="24"/>
        </w:rPr>
        <w:br/>
        <w:t xml:space="preserve">Tomēr, ja sildīšanu nodrošina zemgrīdas apsilde, izmantojot zemas temperatūras </w:t>
      </w:r>
      <w:r>
        <w:rPr>
          <w:rFonts w:ascii="Times New Roman" w:hAnsi="Times New Roman"/>
          <w:sz w:val="24"/>
        </w:rPr>
        <w:lastRenderedPageBreak/>
        <w:t>karsto ūdeni vai izpūsto gaisu, vai neatkarīga malkas apkures ierīce, šo ierīci var koplietot telpās ar maksimālo kopējo virsmas laukumu 100 m².</w:t>
      </w:r>
      <w:r>
        <w:rPr>
          <w:rFonts w:ascii="Times New Roman" w:hAnsi="Times New Roman"/>
          <w:sz w:val="24"/>
        </w:rPr>
        <w:br/>
        <w:t>Automātiskā regulēšana ir ieprogrammēta tā, lai tā atbilstu Enerģētikas kodeksa R. 241-26. panta prasībām.</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30. pants</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Attiecībā uz nedzīvojamām ēkām vai to daļām, jebkurā siltumiekārtā, kas apgādā neregulāri apdzīvotas telpas, jābūt ierīcei, ko var manuāli kontrolēt un automātiski programmēt, vismaz izmantojot pulksteni, kas ļauj:</w:t>
      </w:r>
    </w:p>
    <w:p w14:paraId="32B9CAF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piegādāt siltumenerģiju saskaņā ar šādiem četriem līmeņiem: komforts, zems, sasalšanas novēršana un apturēt;</w:t>
      </w:r>
      <w:r>
        <w:rPr>
          <w:rFonts w:ascii="Times New Roman" w:hAnsi="Times New Roman"/>
          <w:sz w:val="24"/>
        </w:rPr>
        <w:br/>
        <w:t>- nodrošināt automātisku slēdzi starp šiem līmeņiem.</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Pārslēgšanās laikā starp diviem līmeņiem sildīšanas jauda ir nulle vai maksimālā, lai samazinātu pārejas fāžu ilgumu.</w:t>
      </w:r>
      <w:r>
        <w:rPr>
          <w:rFonts w:ascii="Times New Roman" w:hAnsi="Times New Roman"/>
          <w:sz w:val="24"/>
        </w:rPr>
        <w:br/>
        <w:t>Šādu ierīci drīkst koplietot tikai telpās ar līdzīgu noslogojuma laiku. Viena un tā pati ierīce var kalpot platībai, kas nepārsniedz 5000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31. pants</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Kolektīvie tīkli, kas sadala siltumapgādes vai dzesēšanas ūdeni, jāaprīko ar balansēšanas iekārtu katras kolonnas pamatnē.</w:t>
      </w:r>
      <w:r>
        <w:rPr>
          <w:rFonts w:ascii="Times New Roman" w:hAnsi="Times New Roman"/>
          <w:sz w:val="24"/>
        </w:rPr>
        <w:br/>
        <w:t>Apkures un dzesēšanas iekārtu sūkņi ir aprīkoti ar ierīcēm to apturēšanai.</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32. pants</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Katras apgādātās telpas dzesēšanas ierīcēs jābūt vienai vai vairākām ierīcēm, kuras var manuāli apstādināt un kuras automātiski pielāgo aukstuma piegādi atbilstoši temperatūrai telpā.</w:t>
      </w:r>
      <w:r>
        <w:rPr>
          <w:rFonts w:ascii="Times New Roman" w:hAnsi="Times New Roman"/>
          <w:sz w:val="24"/>
        </w:rPr>
        <w:br/>
        <w:t>Tomēr:</w:t>
      </w:r>
    </w:p>
    <w:p w14:paraId="035004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ja aukstumu nodrošina mainīga gaisa plūsmas sistēma, šo ierīci var koplietot telpās ar maksimālo kopējo virsmas laukumu 100 m², ar noteikumu, ka kopējo izpūsto plūsmas ātrumu regulē, nepalielinot spiediena zudumu;</w:t>
      </w:r>
      <w:r>
        <w:rPr>
          <w:rFonts w:ascii="Times New Roman" w:hAnsi="Times New Roman"/>
          <w:sz w:val="24"/>
        </w:rPr>
        <w:br/>
        <w:t>- ja aukstumu nodrošina zem grīdas uzstādīta dzesēšanas sistēma, šo ierīci var koplietot telpās, kuru kopējā platība ir 100 m²;</w:t>
      </w:r>
      <w:r>
        <w:rPr>
          <w:rFonts w:ascii="Times New Roman" w:hAnsi="Times New Roman"/>
          <w:sz w:val="24"/>
        </w:rPr>
        <w:br/>
        <w:t>- attiecībā uz “tikai aukstu divu cauruļu ventilatoru konvektoriem” 1. punkta prasību uzskata par izpildītu, ja katru ventilatoru kontrolē ar iekštelpu temperatūru, un aukstā ūdens ražošanas un sadales iekārtas ir aprīkotas ar ierīci, kas ļauj to programmēt;</w:t>
      </w:r>
      <w:r>
        <w:rPr>
          <w:rFonts w:ascii="Times New Roman" w:hAnsi="Times New Roman"/>
          <w:sz w:val="24"/>
        </w:rPr>
        <w:br/>
        <w:t xml:space="preserve">- ēkām vai ēkas daļām, kas tiek dzesētas, dzesējot svaigu gaisu un divkārši nepalielinot apstrādātās plūsmas ātrumu, kas pārsniedz higiēnas vajadzības, </w:t>
      </w:r>
      <w:r>
        <w:rPr>
          <w:rFonts w:ascii="Times New Roman" w:hAnsi="Times New Roman"/>
          <w:sz w:val="24"/>
        </w:rPr>
        <w:lastRenderedPageBreak/>
        <w:t>1. punkta prasību uzskata par izpildītu, ja aukstumapgāde, pirmkārt, ir noregulēta vismaz atbilstoši gaisa atdeves temperatūrai un temperatūrai ārpusē un, otrkārt, aizliegta apkures periodos.</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Automātiskā regulēšana ir ieprogrammēta tā, lai tā atbilstu Enerģētikas kodeksa R. 241-30. panta prasībām.</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33. pants</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Piekļuves durvis atdzesētām zonām aprīko ar pašaizveres ierīci.</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34. pants</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Pirms galīgās izlaides telpā, izņemot gadījumus, kad sildīšanu nodrošina, rekuperējot no aukstās ražošanas, gaisu nedrīkst sildīt un pēc tam atdzesēt vai otrādi, izmantojot gaisa sildīšanai vai dzesēšanai paredzētas enerģiju patērējošas ierīces.</w:t>
      </w:r>
    </w:p>
    <w:p w14:paraId="7468E6E4" w14:textId="39D5453D"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XIII nodaļa</w:t>
      </w:r>
      <w:r w:rsidR="00A16310">
        <w:rPr>
          <w:rFonts w:ascii="Times New Roman" w:hAnsi="Times New Roman"/>
          <w:b/>
          <w:sz w:val="24"/>
        </w:rPr>
        <w:t>:</w:t>
      </w:r>
      <w:r>
        <w:rPr>
          <w:rFonts w:ascii="Times New Roman" w:hAnsi="Times New Roman"/>
          <w:b/>
          <w:sz w:val="24"/>
        </w:rPr>
        <w:t xml:space="preserve"> APGAISMOJUMS (35.</w:t>
      </w:r>
      <w:r w:rsidR="00577E61">
        <w:rPr>
          <w:rFonts w:ascii="Times New Roman" w:hAnsi="Times New Roman"/>
          <w:b/>
          <w:sz w:val="24"/>
        </w:rPr>
        <w:t>-</w:t>
      </w:r>
      <w:r>
        <w:rPr>
          <w:rFonts w:ascii="Times New Roman" w:hAnsi="Times New Roman"/>
          <w:b/>
          <w:sz w:val="24"/>
        </w:rPr>
        <w:t>38. pants)</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35. pants</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Gājēju celiņu zonās, vertikālās un horizontālās koplietošanas telpās un autostāvvietās visās apgaismes iekārtās katrai telpai ir automātiska ierīce, kas brīžos, kad telpa vai stāvvieta ir izmantota, ļauj:</w:t>
      </w:r>
    </w:p>
    <w:p w14:paraId="0741976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vai nu aptumšot apgaismojumu līdz tiesību aktos noteiktajam minimālajam līmenim;</w:t>
      </w:r>
      <w:r>
        <w:rPr>
          <w:rFonts w:ascii="Times New Roman" w:hAnsi="Times New Roman"/>
          <w:sz w:val="24"/>
        </w:rPr>
        <w:br/>
        <w:t>- vai dzēst mākslīgos gaismas avotus, ja tiesību aktos nav noteikts minimālais līmenis.</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Turklāt, ja telpā ir pieejams dabiskais apgaismojums, telpā ir jāizvieto ierīce, kas ļauj automātiski izslēgt apgaismojuma sistēmu, tiklīdz dabiskā gaisma ir pietiekamā apjomā.</w:t>
      </w:r>
      <w:r>
        <w:rPr>
          <w:rFonts w:ascii="Times New Roman" w:hAnsi="Times New Roman"/>
          <w:sz w:val="24"/>
        </w:rPr>
        <w:br/>
        <w:t>Viena ierīce apkalpo ne vairāk kā:</w:t>
      </w:r>
    </w:p>
    <w:p w14:paraId="05A2C70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maksimālo virsmas laukumu 100 m² un vienu līmeni horizontāliem celiņiem un iekštelpu koplietošanas zonām;</w:t>
      </w:r>
      <w:r>
        <w:rPr>
          <w:rFonts w:ascii="Times New Roman" w:hAnsi="Times New Roman"/>
          <w:sz w:val="24"/>
        </w:rPr>
        <w:br/>
        <w:t>- trīs līmeņus vertikāliem celiņiem;</w:t>
      </w:r>
      <w:r>
        <w:rPr>
          <w:rFonts w:ascii="Times New Roman" w:hAnsi="Times New Roman"/>
          <w:sz w:val="24"/>
        </w:rPr>
        <w:br/>
        <w:t>- vienu līmeni un ne vairāk kā 500 m² platībā stāvvietām.</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36. pants</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Katrai nedzīvojamo ēku vai to daļu telpai ir jābūt aprīkotai ar manuālu ierīci apgaismojuma ieslēgšanai un izslēgšanai vai automātisku ierīci atkarībā no noslogojuma.</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37. pants</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Nedzīvojamās ēkās vai to daļās katrā telpā, kurā par apgaismojuma kontroli atbild tās vadības personāls, pat apdzīvojamības laikā ir jābūt ierīcei, kas ļauj ieslēgt un izslēgt apgaismojumu. Ja šī ierīce neatrodas attiecīgajā telpā, tai jānodrošina, lai apgaismojuma stāvoklis šajā telpā būtu redzams no vadības punkta.</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38. pants</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Ēkās vai ēku daļās, kas nav paredzētas dzīvošanai, tajā pašā telpā mākslīgi apgaismotus punktus, kas novietoti mazāk nekā 5 m attālumā no atveres, kontrolē atsevišķi no citiem apgaismojuma punktiem, ja kopējā uzstādītā jauda katrā no šīm pozīcijām pārsniedz 200 W.</w:t>
      </w:r>
    </w:p>
    <w:p w14:paraId="54320DE6" w14:textId="53BB7869"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XIV nodaļa VENTILĀCIJA (39.</w:t>
      </w:r>
      <w:r w:rsidR="00577E61">
        <w:rPr>
          <w:rFonts w:ascii="Times New Roman" w:hAnsi="Times New Roman"/>
          <w:b/>
          <w:sz w:val="24"/>
        </w:rPr>
        <w:t>-</w:t>
      </w:r>
      <w:r>
        <w:rPr>
          <w:rFonts w:ascii="Times New Roman" w:hAnsi="Times New Roman"/>
          <w:b/>
          <w:sz w:val="24"/>
        </w:rPr>
        <w:t>40. pants)</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39. pants</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Nedzīvojamu ēku vai to daļu gadījumā telpas vai telpu grupas, kuru apdzīvojamība vai izmantošana ļoti atšķiras, ir jānodrošina ar neatkarīgām ventilācijas sistēmām.</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40. pants</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Nedzīvojamās ēkās vai to daļās, kas aprīkotas ar īpašām mehanizētām ventilācijas sistēmām, jebkuru manuālu ierīci gaisa plūsmas mainīšanai telpā darbina ar taimeri.</w:t>
      </w:r>
    </w:p>
    <w:p w14:paraId="73CE2D18" w14:textId="01BA23C4"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IV sadaļa</w:t>
      </w:r>
      <w:r w:rsidR="009D1B28">
        <w:rPr>
          <w:rFonts w:ascii="Times New Roman" w:hAnsi="Times New Roman"/>
          <w:b/>
          <w:sz w:val="27"/>
        </w:rPr>
        <w:t>;</w:t>
      </w:r>
      <w:r>
        <w:rPr>
          <w:rFonts w:ascii="Times New Roman" w:hAnsi="Times New Roman"/>
          <w:b/>
          <w:sz w:val="27"/>
        </w:rPr>
        <w:t xml:space="preserve"> PRIEKŠLIKUMS VIENKĀRŠOTĀM PIEMĒROŠANAS METODĒM INDIVIDUĀLĀS MĀJĀS (41.</w:t>
      </w:r>
      <w:r w:rsidR="00577E61">
        <w:rPr>
          <w:rFonts w:ascii="Times New Roman" w:hAnsi="Times New Roman"/>
          <w:b/>
          <w:sz w:val="27"/>
        </w:rPr>
        <w:t>-</w:t>
      </w:r>
      <w:r>
        <w:rPr>
          <w:rFonts w:ascii="Times New Roman" w:hAnsi="Times New Roman"/>
          <w:b/>
          <w:sz w:val="27"/>
        </w:rPr>
        <w:t>42. pants)</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41. pants</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Vienkāršota piemērošanas metode ir darbu un aprīkojuma arhitektonisko raksturlielumu, energoefektivitātes un ekoloģisko raksturlielumu kombinācija, kas attiecas uz noteiktu savrupmāju grupu un ko uzskata par atbilstošu šā rīkojuma I līdz III sadaļas noteikumiem attiecībā uz visām ēkām šajā grupā.</w:t>
      </w:r>
      <w:r>
        <w:rPr>
          <w:rFonts w:ascii="Times New Roman" w:hAnsi="Times New Roman"/>
          <w:sz w:val="24"/>
        </w:rPr>
        <w:br/>
        <w:t>Vienkāršoto piemērošanas metodi var izmantot tikai tās vienotajā formā.</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42. pants</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Vienkāršotas piemērošanas metodes priekšlikumu nosūta par enerģētiku atbildīgajam ministram un par būvniecību atbildīgajam ministram, pievienojot IX pielikumā norādīto pētījuma dokumentāciju.</w:t>
      </w:r>
    </w:p>
    <w:p w14:paraId="505CE6F7" w14:textId="5CFAC3D5"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V sadaļa</w:t>
      </w:r>
      <w:r w:rsidR="009D1B28">
        <w:rPr>
          <w:rFonts w:ascii="Times New Roman" w:hAnsi="Times New Roman"/>
          <w:b/>
          <w:sz w:val="27"/>
        </w:rPr>
        <w:t>:</w:t>
      </w:r>
      <w:r>
        <w:rPr>
          <w:rFonts w:ascii="Times New Roman" w:hAnsi="Times New Roman"/>
          <w:b/>
          <w:sz w:val="27"/>
        </w:rPr>
        <w:t xml:space="preserve"> ĪPAŠIE GADĪJUMI (43.</w:t>
      </w:r>
      <w:r w:rsidR="00577E61">
        <w:rPr>
          <w:rFonts w:ascii="Times New Roman" w:hAnsi="Times New Roman"/>
          <w:b/>
          <w:sz w:val="27"/>
        </w:rPr>
        <w:t>-</w:t>
      </w:r>
      <w:r>
        <w:rPr>
          <w:rFonts w:ascii="Times New Roman" w:hAnsi="Times New Roman"/>
          <w:b/>
          <w:sz w:val="27"/>
        </w:rPr>
        <w:t>44. pants)</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43. pants</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Ja 8. pantā minētajā aprēķina metodē nav ņemtas vērā būvniecības projekta īpatnības, pieteikumu par projekta apstiprināšanu nosūta enerģētikas ministram un par būvniecību atbildīgajam ministram.</w:t>
      </w:r>
      <w:r>
        <w:rPr>
          <w:rFonts w:ascii="Times New Roman" w:hAnsi="Times New Roman"/>
          <w:sz w:val="24"/>
        </w:rPr>
        <w:br/>
        <w:t>Šādos gadījumos enerģētikas ministram un par būvniecību atbildīgajam ministram var nosūtīt pieteikumu projekta apstiprināšanai vai metodei, kas izmantota, lai pamatotu siltumapgādes vai dzesēšanas sistēmas vai tīkla darbību:</w:t>
      </w:r>
    </w:p>
    <w:p w14:paraId="5A0B0C3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ja 8. pantā minētajā aprēķina metodē nav ņemtas vērā sistēmas īpatnības;</w:t>
      </w:r>
      <w:r>
        <w:rPr>
          <w:rFonts w:ascii="Times New Roman" w:hAnsi="Times New Roman"/>
          <w:sz w:val="24"/>
        </w:rPr>
        <w:br/>
        <w:t>- ja ir izveidots pilsētas siltumapgādes vai dzesēšanas tīkls;</w:t>
      </w:r>
      <w:r>
        <w:rPr>
          <w:rFonts w:ascii="Times New Roman" w:hAnsi="Times New Roman"/>
          <w:sz w:val="24"/>
        </w:rPr>
        <w:br/>
        <w:t>- ja siltumapgādes vai aukstumapgādes tīkla pārveidošanas darbi var izraisīt būtiskas izmaiņas tā emisijas koeficientā, kā paredzēts 10. pantā.</w:t>
      </w:r>
    </w:p>
    <w:p w14:paraId="74E0BDC5"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Apstiprinājuma pieteikumiem pievieno pētījuma dokumentāciju, kas izveidota tā, kā ir norādīts X pielikumā, kurā jo īpaši izklāsta veidu, kādā 8. pantā minētajā aprēķina metodē nav ņemta vērā attiecīgā gadījuma būvniecības projekta vai sistēmas specifika.</w:t>
      </w:r>
      <w:r>
        <w:rPr>
          <w:rFonts w:ascii="Times New Roman" w:hAnsi="Times New Roman"/>
          <w:sz w:val="24"/>
        </w:rPr>
        <w:br/>
        <w:t>Būvprojekta apstiprināšana nav obligāta, ja sertifikāts par atbilstību mērķiem L. 112-9. panta nozīmē, kas attiecas uz objektu, kurš nav energoefektivitāte, paredz ievaddatus, kas raksturīgi attiecīgajiem risinājumiem ar līdzvērtīgu iedarbību un kas ļauj piemērot 8. pantā minēto aprēķina metodi.</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44. pants</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Enerģētikas ministrs un par būvniecību atbildīgais ministrs pēc apspriešanās ar šim nolūkam izveidotu ekspertu komiteju var apstiprināt priekšlikumu ņemt vērā būvniecības projektu, siltumapgādes vai dzesēšanas sistēmu vai tīklu.</w:t>
      </w:r>
      <w:r>
        <w:rPr>
          <w:rFonts w:ascii="Times New Roman" w:hAnsi="Times New Roman"/>
          <w:sz w:val="24"/>
        </w:rPr>
        <w:br/>
        <w:t>Centralizētās siltumapgādes vai dzesēšanas tīklu izveidei apstiprinājums ir spēkā ne ilgāk kā trīs gadus; attiecībā uz centralizētās siltumapgādes vai dzesēšanas tīklu pārveidošanas darbiem apstiprinājums ir spēkā ne ilgāk kā piecus gadus, un to var atjaunot divus gadus pēc ekspertu komitejas atzinuma saņemšanas.</w:t>
      </w:r>
    </w:p>
    <w:p w14:paraId="7E5DA6C6" w14:textId="1B37B3FA"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VI sadaļa</w:t>
      </w:r>
      <w:r w:rsidR="009D1B28">
        <w:rPr>
          <w:rFonts w:ascii="Times New Roman" w:hAnsi="Times New Roman"/>
          <w:b/>
          <w:sz w:val="27"/>
        </w:rPr>
        <w:t>:</w:t>
      </w:r>
      <w:r>
        <w:rPr>
          <w:rFonts w:ascii="Times New Roman" w:hAnsi="Times New Roman"/>
          <w:b/>
          <w:sz w:val="27"/>
        </w:rPr>
        <w:t xml:space="preserve"> DAŽĀDI NOSACĪJUMI (45.</w:t>
      </w:r>
      <w:r w:rsidR="00577E61">
        <w:rPr>
          <w:rFonts w:ascii="Times New Roman" w:hAnsi="Times New Roman"/>
          <w:b/>
          <w:sz w:val="27"/>
        </w:rPr>
        <w:t>-</w:t>
      </w:r>
      <w:r>
        <w:rPr>
          <w:rFonts w:ascii="Times New Roman" w:hAnsi="Times New Roman"/>
          <w:b/>
          <w:sz w:val="27"/>
        </w:rPr>
        <w:t>52. pants)</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45. pants</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Ja ēku vai ēkas daļu nodod bez apkures sistēmas, to novērtē, izmantojot standarta </w:t>
      </w:r>
      <w:r>
        <w:rPr>
          <w:rFonts w:ascii="Times New Roman" w:hAnsi="Times New Roman"/>
          <w:sz w:val="24"/>
        </w:rPr>
        <w:lastRenderedPageBreak/>
        <w:t>apkures sistēmu, kā paredzēts 8. pantā minētajā metodē. Ja attiecīgajai ēkai izmantotajā metodē nav paredzēta standarta apkures sistēma, tā var izpildīt tikai tās resursu prasības, kas noteiktas Būvniecības un mājokļu kodeksa III sadaļā, kā arī prasības, kas noteiktas Būvniecības un mājokļu kodeksa R. 172-4. panta 1., 4. un 5. punktā un noteiktas saskaņā ar tā paša panta pielikumā noteiktajām procedūrām.</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46. pants</w:t>
      </w:r>
    </w:p>
    <w:p w14:paraId="6521031A" w14:textId="28E48FBF"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Iepriekš minētajos 2010. gada 26. oktobra un 2012. gada 28. decembra rīkojumos noteiktās prasības tiek uzskatītas par izpildītām, ja ir izpildītas Būvniecības un mājokļu kodeksa R. 172-4. panta prasības, kas noteiktas šī paša panta pielikumā noteiktajā kārtībā, kā arī šajā rīkojumā noteiktās prasības.</w:t>
      </w:r>
      <w:r>
        <w:rPr>
          <w:rFonts w:ascii="Times New Roman" w:hAnsi="Times New Roman"/>
          <w:sz w:val="24"/>
        </w:rPr>
        <w:br/>
        <w:t>II. Tiek uzskatīts, ka iepriekš minētajos 2008. gada 13. jūnija un 2007. gada 3. maija rīkojumos paredzētās prasības ir izpildītas, ja ir izpildītas Būvniecības un mājokļu kodeksa R. 172-4. panta 1.</w:t>
      </w:r>
      <w:r w:rsidR="00577E61">
        <w:rPr>
          <w:rFonts w:ascii="Times New Roman" w:hAnsi="Times New Roman"/>
          <w:sz w:val="24"/>
        </w:rPr>
        <w:t>-</w:t>
      </w:r>
      <w:r>
        <w:rPr>
          <w:rFonts w:ascii="Times New Roman" w:hAnsi="Times New Roman"/>
          <w:sz w:val="24"/>
        </w:rPr>
        <w:t>3.°un 5°punktā noteiktās prasības, kas noteiktas saskaņā ar šā paša panta pielikumā norādītajām procedūrām, kā arī šā rīkojuma III sadaļā paredzētās prasības.</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47. pants</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Šā rīkojuma noteikumi nevar būt pretrunā ar spēkā esošajiem normatīviem un administratīvajiem aktiem attiecībā uz veselību, sanitāriju, higiēnu un drošību.</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48. pants</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Iepriekš minētā 2010. gada 26. oktobra rīkojuma 11. un 12. pantā vārdus “2021. gada 1. septembris” aizstāj ar vārdiem “2021. gada 31. decembris”.</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49. pants</w:t>
      </w:r>
    </w:p>
    <w:p w14:paraId="01833B6B"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Iepriekš minētā 2010. gada 26. oktobra rīkojuma 10. pantu un 2012. gada 28. decembra rīkojuma 10. pantu aizstāj ar:</w:t>
      </w:r>
    </w:p>
    <w:p w14:paraId="228B35D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“10. pants - Vēlākais līdz 2013. gada 1. janvārim par būvniecību atbildīgajam ministram un par enerģētiku atbildīgajam ministram X pielikumā noteiktajā kārtībā ir jāizvērtē programmatūra, kas izmantota Cep, Bbio un Tic aprēķināšanai. Pēc šī novērtējuma tiek izsniegts novērtējuma ziņojums. Šis novērtējums ir jāpārskata reizi divos gados novērtējuma ziņojuma izdošanas gadadienā vai vismaz vienu reizi, sākot ar 2018. gada 1. janvāri.”</w:t>
      </w:r>
    </w:p>
    <w:p w14:paraId="519D34E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II. Iepriekš minētā 2010. gada 26. oktobra rīkojuma X pielikuma 5. punkta sākumā un iepriekš minētā 2012. gada 28. decembra rīkojuma VI pielikuma 5. punkta sākumā pievieno šādu teikumu: “Tālāk minēto punktu nepiemēro programmatūrai, par kuru novērtējums tika pārskatīts pēc 2018. gada 1. janvāra.”</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50. pants</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Minētā 2010. gada 26. oktobra rīkojuma 49. panta beigās un iepriekš minētā 2012. gada 28. decembra rīkojuma 39. panta beigās pievieno šādu punktu: </w:t>
      </w:r>
      <w:r>
        <w:rPr>
          <w:rFonts w:ascii="Times New Roman" w:hAnsi="Times New Roman"/>
          <w:sz w:val="24"/>
        </w:rPr>
        <w:br/>
        <w:t>“Būvprojekta apstiprināšana nav obligāta gadījumos, ja sertifikāts par atbilstību mērķiem Būvniecības un mājokļu kodeksa L. 112-9. panta nozīmē, kas attiecas uz tādu objektu, kas nav energoefektivitāte, paredz īpašus ievaddatus risinājumiem ar līdzvērtīgu iedarbību, kas ļauj izmantot aprēķina metodi Th-B-C-E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51. pants</w:t>
      </w:r>
    </w:p>
    <w:p w14:paraId="24D85573" w14:textId="295AB34F"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48.</w:t>
      </w:r>
      <w:r w:rsidR="00577E61">
        <w:rPr>
          <w:rFonts w:ascii="Times New Roman" w:hAnsi="Times New Roman"/>
          <w:sz w:val="24"/>
        </w:rPr>
        <w:t>-</w:t>
      </w:r>
      <w:r>
        <w:rPr>
          <w:rFonts w:ascii="Times New Roman" w:hAnsi="Times New Roman"/>
          <w:sz w:val="24"/>
        </w:rPr>
        <w:t>50. panta noteikumi stājas spēkā nākamajā dienā pēc šā rīkojuma publicēšanas.</w:t>
      </w:r>
      <w:r>
        <w:rPr>
          <w:rFonts w:ascii="Times New Roman" w:hAnsi="Times New Roman"/>
          <w:sz w:val="24"/>
        </w:rPr>
        <w:br/>
        <w:t>II. Pārējo pantu noteikumi stājas spēkā 2022. gada 1. janvārī.</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52. pants</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Šo rīkojumu publicē Journal officiel de la République française [Francijas Republikas Oficiālajā Vēstnesī].</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Pielikums</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Pants</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PIELIKUMI</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3E2030F3"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t>Visu tekstu ar attēliem var apskatīt autentificētā elektroniskā Oficiālā Vēstneša izrakstā, kas ir pieejams lapas apakšā.</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Datēts ar 2021. gada 4. augustu.</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Par mājokļiem atbildīgā ekoloģiskās pārejas ministra vietas izpildītājs,</w:t>
      </w:r>
      <w:r>
        <w:rPr>
          <w:rFonts w:ascii="Times New Roman" w:hAnsi="Times New Roman"/>
          <w:sz w:val="24"/>
        </w:rPr>
        <w:br/>
        <w:t>Ministra vārdā un atbilstoši deleģējumam:</w:t>
      </w:r>
      <w:r>
        <w:rPr>
          <w:rFonts w:ascii="Times New Roman" w:hAnsi="Times New Roman"/>
          <w:sz w:val="24"/>
        </w:rPr>
        <w:br/>
        <w:t>Mājokļu, pilsētplānošanas un ainavu lietu direktors,</w:t>
      </w:r>
      <w:r>
        <w:rPr>
          <w:rFonts w:ascii="Times New Roman" w:hAnsi="Times New Roman"/>
          <w:sz w:val="24"/>
        </w:rPr>
        <w:br/>
        <w:t>F. Adam</w:t>
      </w:r>
    </w:p>
    <w:p w14:paraId="1A7604DF" w14:textId="5F00D60A" w:rsidR="007570FC" w:rsidRDefault="001E2566" w:rsidP="00053FD1">
      <w:pPr>
        <w:spacing w:before="100" w:beforeAutospacing="1" w:after="100" w:afterAutospacing="1" w:line="240" w:lineRule="auto"/>
      </w:pPr>
      <w:r>
        <w:rPr>
          <w:rFonts w:ascii="Times New Roman" w:hAnsi="Times New Roman"/>
          <w:sz w:val="24"/>
        </w:rPr>
        <w:br/>
        <w:t>Ekoloģiskas pārkārtošanas ministre,</w:t>
      </w:r>
      <w:r>
        <w:rPr>
          <w:rFonts w:ascii="Times New Roman" w:hAnsi="Times New Roman"/>
          <w:sz w:val="24"/>
        </w:rPr>
        <w:br/>
        <w:t>ministres vārdā un uzdevumā </w:t>
      </w:r>
      <w:r w:rsidR="00674543">
        <w:rPr>
          <w:rFonts w:ascii="Times New Roman" w:hAnsi="Times New Roman"/>
          <w:sz w:val="24"/>
        </w:rPr>
        <w:t xml:space="preserve"> -</w:t>
      </w:r>
      <w:r>
        <w:rPr>
          <w:rFonts w:ascii="Times New Roman" w:hAnsi="Times New Roman"/>
          <w:sz w:val="24"/>
        </w:rPr>
        <w:br/>
        <w:t>Mājokļu, pilsētplānošanas un ainavu lietu direktors,</w:t>
      </w:r>
      <w:r>
        <w:rPr>
          <w:rFonts w:ascii="Times New Roman" w:hAnsi="Times New Roman"/>
          <w:sz w:val="24"/>
        </w:rPr>
        <w:br/>
        <w:t>F. Adam</w:t>
      </w:r>
      <w:r>
        <w:rPr>
          <w:rFonts w:ascii="Times New Roman" w:hAnsi="Times New Roman"/>
          <w:sz w:val="24"/>
        </w:rPr>
        <w:br/>
        <w:t>Enerģijas un klimata lietu ģenerāldirektors,</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DE1E" w14:textId="77777777" w:rsidR="00174064" w:rsidRDefault="00174064" w:rsidP="00391339">
      <w:pPr>
        <w:spacing w:after="0" w:line="240" w:lineRule="auto"/>
      </w:pPr>
      <w:r>
        <w:separator/>
      </w:r>
    </w:p>
  </w:endnote>
  <w:endnote w:type="continuationSeparator" w:id="0">
    <w:p w14:paraId="23A0CCD9" w14:textId="77777777" w:rsidR="00174064" w:rsidRDefault="00174064" w:rsidP="0039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08E0" w14:textId="77777777" w:rsidR="00174064" w:rsidRDefault="00174064" w:rsidP="00391339">
      <w:pPr>
        <w:spacing w:after="0" w:line="240" w:lineRule="auto"/>
      </w:pPr>
      <w:r>
        <w:separator/>
      </w:r>
    </w:p>
  </w:footnote>
  <w:footnote w:type="continuationSeparator" w:id="0">
    <w:p w14:paraId="6CF7A4BB" w14:textId="77777777" w:rsidR="00174064" w:rsidRDefault="00174064" w:rsidP="00391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05690E"/>
    <w:rsid w:val="00174064"/>
    <w:rsid w:val="001E2566"/>
    <w:rsid w:val="00391339"/>
    <w:rsid w:val="00577E61"/>
    <w:rsid w:val="00674543"/>
    <w:rsid w:val="007570FC"/>
    <w:rsid w:val="00761B77"/>
    <w:rsid w:val="0085783F"/>
    <w:rsid w:val="009D1B28"/>
    <w:rsid w:val="00A16310"/>
    <w:rsid w:val="00A94710"/>
    <w:rsid w:val="00BA2550"/>
    <w:rsid w:val="00D26630"/>
    <w:rsid w:val="00EC1D31"/>
    <w:rsid w:val="00FE62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1339"/>
  </w:style>
  <w:style w:type="paragraph" w:styleId="Footer">
    <w:name w:val="footer"/>
    <w:basedOn w:val="Normal"/>
    <w:link w:val="FooterChar"/>
    <w:uiPriority w:val="99"/>
    <w:unhideWhenUsed/>
    <w:rsid w:val="003913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5607</Words>
  <Characters>35280</Characters>
  <Application>Microsoft Office Word</Application>
  <DocSecurity>0</DocSecurity>
  <Lines>996</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2022-02-11T10:38:00Z</dcterms:created>
  <dcterms:modified xsi:type="dcterms:W3CDTF">2022-02-11T10:38:00Z</dcterms:modified>
</cp:coreProperties>
</file>