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923CB6">
      <w:pPr>
        <w:pStyle w:val="Heading10"/>
        <w:keepNext/>
        <w:keepLines/>
      </w:pPr>
      <w:bookmarkStart w:id="0" w:name="bookmark0"/>
      <w:r>
        <w:rPr>
          <w:rStyle w:val="Heading1"/>
        </w:rPr>
        <w:t>Progetti di proposte legislative</w:t>
      </w:r>
      <w:bookmarkEnd w:id="0"/>
    </w:p>
    <w:p w14:paraId="08A98031" w14:textId="77777777" w:rsidR="00AA0AC6" w:rsidRDefault="00923CB6">
      <w:pPr>
        <w:pStyle w:val="Heading20"/>
        <w:keepNext/>
        <w:keepLines/>
      </w:pPr>
      <w:bookmarkStart w:id="1" w:name="bookmark2"/>
      <w:r>
        <w:rPr>
          <w:rStyle w:val="Heading2"/>
        </w:rPr>
        <w:t>Le aggiunte e gli emendamenti sono in corsivo.</w:t>
      </w:r>
      <w:bookmarkEnd w:id="1"/>
    </w:p>
    <w:p w14:paraId="69A787FA" w14:textId="77777777" w:rsidR="00AA0AC6" w:rsidRDefault="00923CB6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>Progetto di modifica della legge 9 marzo 1973 n. 14 relativa alla prevenzione degli effetti nocivi del tabacco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>Articolo 30. Progettazione ed etichettatura standardizzate degli imballaggi e dei prodotti</w:t>
      </w:r>
    </w:p>
    <w:p w14:paraId="55131F6E" w14:textId="77777777" w:rsidR="00AA0AC6" w:rsidRDefault="00923CB6">
      <w:pPr>
        <w:pStyle w:val="BodyText"/>
        <w:ind w:firstLine="580"/>
      </w:pPr>
      <w:r>
        <w:rPr>
          <w:rStyle w:val="BodyTextChar"/>
        </w:rPr>
        <w:t>È vietato importare o vendere in Norvegia imballaggi d</w:t>
      </w:r>
      <w:r>
        <w:rPr>
          <w:rStyle w:val="BodyTextChar"/>
        </w:rPr>
        <w:t xml:space="preserve">el tabacco e prodotti del tabacco che non sono di progettazione standardizzata ai sensi delle disposizioni dettagliate stabilite dal ministero nella normativa. </w:t>
      </w:r>
      <w:r>
        <w:rPr>
          <w:rStyle w:val="BodyTextChar"/>
          <w:i/>
        </w:rPr>
        <w:t xml:space="preserve">Lo stesso vale per le sigarette elettroniche e i contenitori di ricarica, indipendentemente dal </w:t>
      </w:r>
      <w:r>
        <w:rPr>
          <w:rStyle w:val="BodyTextChar"/>
          <w:i/>
        </w:rPr>
        <w:t>tenore di nicotina.</w:t>
      </w:r>
      <w:r>
        <w:rPr>
          <w:rStyle w:val="BodyTextChar"/>
        </w:rPr>
        <w:t xml:space="preserve"> La standardizzazione può, ad esempio, applicarsi al colore, alla forma, all'aspetto, al materiale e all'etichettatura, compreso l'uso di marchi, loghi e altri elementi legati al marchio</w:t>
      </w:r>
    </w:p>
    <w:p w14:paraId="59A9A310" w14:textId="77777777" w:rsidR="00AA0AC6" w:rsidRDefault="00923CB6">
      <w:pPr>
        <w:pStyle w:val="BodyText"/>
        <w:spacing w:after="540"/>
        <w:ind w:firstLine="580"/>
      </w:pPr>
      <w:r>
        <w:rPr>
          <w:rStyle w:val="BodyTextChar"/>
        </w:rPr>
        <w:t>Il ministero può emanare norme in materia di stand</w:t>
      </w:r>
      <w:r>
        <w:rPr>
          <w:rStyle w:val="BodyTextChar"/>
        </w:rPr>
        <w:t>ardizzazione analoga dell'etichettatura e della progettazione degli imballaggi per gli articoli per fumatori e i sostituti del tabacco, e fare esenzioni per specifiche categorie di prodotti. Il ministero può, in tali norme, limitare la tipologia di punti v</w:t>
      </w:r>
      <w:r>
        <w:rPr>
          <w:rStyle w:val="BodyTextChar"/>
        </w:rPr>
        <w:t>endita autorizzati a vendere prodotti, i quali sono esentati dall'obbligo di standardizzazione.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>Articolo 30 bis. Avvertenza sulla salute e presentazione del prodotto</w:t>
      </w:r>
    </w:p>
    <w:p w14:paraId="776E89D9" w14:textId="652A9ACA" w:rsidR="00AA0AC6" w:rsidRDefault="00923CB6">
      <w:pPr>
        <w:pStyle w:val="BodyText"/>
        <w:spacing w:after="200" w:line="240" w:lineRule="auto"/>
        <w:ind w:firstLine="500"/>
      </w:pPr>
      <w:r>
        <w:rPr>
          <w:rStyle w:val="BodyTextChar"/>
        </w:rPr>
        <w:t>È vietato importare o vendere in Norvegia prodotti del tabacco, sigarette elettroniche e c</w:t>
      </w:r>
      <w:r>
        <w:rPr>
          <w:rStyle w:val="BodyTextChar"/>
        </w:rPr>
        <w:t>ontenitori di ricarica, nonché prodotti a base di erbe per il fumo che non sono etichettati con avvertenze sulla salute.</w:t>
      </w:r>
    </w:p>
    <w:p w14:paraId="66AB4B62" w14:textId="77777777" w:rsidR="00AA0AC6" w:rsidRDefault="00923CB6">
      <w:pPr>
        <w:pStyle w:val="BodyText"/>
        <w:spacing w:line="240" w:lineRule="auto"/>
        <w:ind w:firstLine="500"/>
      </w:pPr>
      <w:r>
        <w:rPr>
          <w:rStyle w:val="BodyTextChar"/>
        </w:rPr>
        <w:t>[È vietato importare o vendere in Norvegia prodotti del tabacco, prodotti a base di erbe per il fumo, sigarette elettroniche e contenit</w:t>
      </w:r>
      <w:r>
        <w:rPr>
          <w:rStyle w:val="BodyTextChar"/>
        </w:rPr>
        <w:t>ori di ricarica etichettati con qualsiasi elemento o caratteristica, compresi testi, nomi, marchi commerciali, simboli, segni figurativi o di altro tipo, che:</w:t>
      </w:r>
    </w:p>
    <w:p w14:paraId="5477CAB0" w14:textId="77777777" w:rsidR="00AA0AC6" w:rsidRDefault="00923CB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promuovono un prodotto del tabacco o ne incoraggiano il consumo dando un'impressione errata sulle</w:t>
      </w:r>
      <w:r>
        <w:rPr>
          <w:rStyle w:val="BodyTextChar"/>
        </w:rPr>
        <w:t xml:space="preserve"> caratteristiche, sugli effetti sulla salute, sui rischi o sulle emissioni;</w:t>
      </w:r>
    </w:p>
    <w:p w14:paraId="12A7A4D9" w14:textId="77777777" w:rsidR="00AA0AC6" w:rsidRDefault="00923CB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includono una qualsiasi informazione sul tenore di nicotina, catrame o monossido di carbonio del prodotto del tabacco;</w:t>
      </w:r>
    </w:p>
    <w:p w14:paraId="446BC351" w14:textId="77777777" w:rsidR="00AA0AC6" w:rsidRDefault="00923CB6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suggeriscono che un particolare prodotto è meno dannoso di al</w:t>
      </w:r>
      <w:r>
        <w:rPr>
          <w:rStyle w:val="BodyTextChar"/>
        </w:rPr>
        <w:t>tri o ha proprietà vitali, energetiche, curative, ringiovanenti, naturali, organiche o ha altri benefici per la salute o lo stile di vita;</w:t>
      </w:r>
    </w:p>
    <w:p w14:paraId="7530D3E3" w14:textId="77777777" w:rsidR="00AA0AC6" w:rsidRDefault="00923CB6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richiamano un gusto, un odore, un aroma o altri additivi o la loro assenza;</w:t>
      </w:r>
    </w:p>
    <w:p w14:paraId="6D3DA705" w14:textId="77777777" w:rsidR="00AA0AC6" w:rsidRDefault="00923CB6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assomigliano a un alimento o a un prodott</w:t>
      </w:r>
      <w:r>
        <w:rPr>
          <w:rStyle w:val="BodyTextChar"/>
        </w:rPr>
        <w:t>o cosmetico;</w:t>
      </w:r>
    </w:p>
    <w:p w14:paraId="713D58E2" w14:textId="77777777" w:rsidR="00AA0AC6" w:rsidRDefault="00923CB6" w:rsidP="00923CB6">
      <w:pPr>
        <w:pStyle w:val="BodyText"/>
        <w:numPr>
          <w:ilvl w:val="0"/>
          <w:numId w:val="2"/>
        </w:numPr>
        <w:spacing w:after="200"/>
        <w:ind w:left="737" w:hanging="357"/>
      </w:pPr>
      <w:r>
        <w:rPr>
          <w:rStyle w:val="BodyTextChar"/>
        </w:rPr>
        <w:t>suggeriscono che un determinato prodotto del tabacco presenta vantaggi ambientali o finanziari.</w:t>
      </w:r>
    </w:p>
    <w:p w14:paraId="5987CFDC" w14:textId="77777777" w:rsidR="00AA0AC6" w:rsidRDefault="00923CB6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Le disposizioni del primo </w:t>
      </w:r>
      <w:r>
        <w:rPr>
          <w:rStyle w:val="BodyTextChar"/>
          <w:strike/>
        </w:rPr>
        <w:t>e secondo</w:t>
      </w:r>
      <w:r>
        <w:rPr>
          <w:rStyle w:val="BodyTextChar"/>
        </w:rPr>
        <w:t xml:space="preserve"> paragrafo non si applicano alle sigarette elettroniche monouso senza nicotina e contenitori di ricarica senza nicotina. Il divieto di informazioni sul tenore di nicotina nel secondo paragrafo, lettera b), </w:t>
      </w:r>
      <w:r>
        <w:rPr>
          <w:rStyle w:val="BodyTextChar"/>
          <w:strike/>
        </w:rPr>
        <w:t>e i riferimenti agli aromi nella lettera d)</w:t>
      </w:r>
      <w:r>
        <w:rPr>
          <w:rStyle w:val="BodyTextChar"/>
        </w:rPr>
        <w:t xml:space="preserve">, </w:t>
      </w:r>
      <w:r>
        <w:rPr>
          <w:rStyle w:val="BodyTextChar"/>
          <w:i/>
        </w:rPr>
        <w:t>non</w:t>
      </w:r>
      <w:r>
        <w:rPr>
          <w:rStyle w:val="BodyTextChar"/>
        </w:rPr>
        <w:t xml:space="preserve"> s</w:t>
      </w:r>
      <w:r>
        <w:rPr>
          <w:rStyle w:val="BodyTextChar"/>
        </w:rPr>
        <w:t xml:space="preserve">i applica alle sigarette elettroniche e ai contenitori di ricarica. Al secondo paragrafo, le lettere d) </w:t>
      </w:r>
      <w:r>
        <w:rPr>
          <w:rStyle w:val="BodyTextChar"/>
        </w:rPr>
        <w:lastRenderedPageBreak/>
        <w:t>e f) non si applicano ai prodotti a base di erbe da fumo, anche se non è comunque consentito affermare che il prodotto è privo di additivi o aromi.</w:t>
      </w:r>
    </w:p>
    <w:p w14:paraId="4A3E0B34" w14:textId="77777777" w:rsidR="00AA0AC6" w:rsidRDefault="00923CB6">
      <w:pPr>
        <w:pStyle w:val="BodyText"/>
        <w:spacing w:after="200" w:line="240" w:lineRule="auto"/>
        <w:ind w:firstLine="500"/>
      </w:pPr>
      <w:r>
        <w:rPr>
          <w:rStyle w:val="BodyTextChar"/>
        </w:rPr>
        <w:t>Il m</w:t>
      </w:r>
      <w:r>
        <w:rPr>
          <w:rStyle w:val="BodyTextChar"/>
        </w:rPr>
        <w:t>inistero può stabilire nelle norme disposizioni complementari per l'attuazione dei requisiti di cui al primo e secondo paragrafo, e concedere esenzioni.</w:t>
      </w:r>
    </w:p>
    <w:p w14:paraId="4940B364" w14:textId="77777777" w:rsidR="00AA0AC6" w:rsidRDefault="00923CB6" w:rsidP="001F37DB">
      <w:pPr>
        <w:pStyle w:val="BodyText"/>
        <w:keepNext/>
        <w:spacing w:after="140"/>
        <w:ind w:firstLine="0"/>
      </w:pPr>
      <w:r>
        <w:rPr>
          <w:rStyle w:val="BodyTextChar"/>
        </w:rPr>
        <w:t>Nuovo articolo 32 bis. Divieto di caratterizzazione degli aromi nelle sigarette elettroniche ecc.</w:t>
      </w:r>
    </w:p>
    <w:p w14:paraId="522ED393" w14:textId="77777777" w:rsidR="00AA0AC6" w:rsidRDefault="00923CB6">
      <w:pPr>
        <w:pStyle w:val="BodyText"/>
        <w:ind w:firstLine="580"/>
      </w:pPr>
      <w:r>
        <w:rPr>
          <w:rStyle w:val="BodyTextChar"/>
          <w:i/>
        </w:rPr>
        <w:t>È vie</w:t>
      </w:r>
      <w:r>
        <w:rPr>
          <w:rStyle w:val="BodyTextChar"/>
          <w:i/>
        </w:rPr>
        <w:t>tato importare o vendere in Norvegia sigarette elettroniche e contenitori di ricarica, indipendentemente dal tenore di nicotina, che contengano aromi caratterizzanti. Lo stesso vale per i contenitori separati di additivi aromatici da utilizzare nelle sigar</w:t>
      </w:r>
      <w:r>
        <w:rPr>
          <w:rStyle w:val="BodyTextChar"/>
          <w:i/>
        </w:rPr>
        <w:t>ette elettroniche.</w:t>
      </w:r>
    </w:p>
    <w:p w14:paraId="69779CD8" w14:textId="77777777" w:rsidR="00AA0AC6" w:rsidRDefault="00923CB6">
      <w:pPr>
        <w:pStyle w:val="BodyText"/>
        <w:ind w:firstLine="580"/>
      </w:pPr>
      <w:r>
        <w:rPr>
          <w:rStyle w:val="BodyTextChar"/>
          <w:i/>
        </w:rPr>
        <w:t>Il divieto di cui al primo paragrafo si applica anche alle apparecchiature e ai componenti utilizzati nell'ambito delle sigarette elettroniche, che consentono di alterare il gusto o l'odore dei prodotti.</w:t>
      </w:r>
    </w:p>
    <w:p w14:paraId="2CC900A2" w14:textId="77777777" w:rsidR="00AA0AC6" w:rsidRDefault="00923CB6">
      <w:pPr>
        <w:pStyle w:val="BodyText"/>
        <w:spacing w:after="420"/>
        <w:ind w:firstLine="580"/>
      </w:pPr>
      <w:r>
        <w:rPr>
          <w:rStyle w:val="BodyTextChar"/>
          <w:i/>
        </w:rPr>
        <w:t>Il ministero può emanare norme su</w:t>
      </w:r>
      <w:r>
        <w:rPr>
          <w:rStyle w:val="BodyTextChar"/>
          <w:i/>
        </w:rPr>
        <w:t>pplementari relative ai divieti di cui al primo e secondo paragrafo, concedere esenzioni, fissare livelli massimi di additivi o combinazioni di additivi che conferiscono un sapore caratterizzante e impostare tasse volte a compensare i governi che gestiscon</w:t>
      </w:r>
      <w:r>
        <w:rPr>
          <w:rStyle w:val="BodyTextChar"/>
          <w:i/>
        </w:rPr>
        <w:t>o e controllano i divieti. Il ministero può inoltre adottare nelle norme un elenco di cui gli additivi aromatizzanti possono essere utilizzati come ingredienti nelle sigarette elettroniche e nei contenitori di ricarica.</w:t>
      </w:r>
    </w:p>
    <w:p w14:paraId="362A0B7D" w14:textId="77777777" w:rsidR="00AA0AC6" w:rsidRDefault="00923CB6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>Progetto di modifica della normativa</w:t>
      </w:r>
      <w:r>
        <w:rPr>
          <w:rStyle w:val="Heading3"/>
          <w:b/>
        </w:rPr>
        <w:t xml:space="preserve"> del 6 febbraio 2003 n. 141 relativa al contenuto, all'etichettatura e alla progettazione dei prodotti del tabacco ecc.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>Articolo 31. Dimensioni e peso minimi per i prodotti del tabacco</w:t>
      </w:r>
    </w:p>
    <w:p w14:paraId="6842D5C9" w14:textId="77777777" w:rsidR="00AA0AC6" w:rsidRDefault="00923CB6">
      <w:pPr>
        <w:pStyle w:val="BodyText"/>
        <w:ind w:firstLine="580"/>
      </w:pPr>
      <w:r>
        <w:rPr>
          <w:rStyle w:val="BodyTextChar"/>
        </w:rPr>
        <w:t>Una confezione unitario messo in vendita per i consumatori contenente</w:t>
      </w:r>
    </w:p>
    <w:p w14:paraId="67107DAC" w14:textId="77777777" w:rsidR="00AA0AC6" w:rsidRDefault="00923CB6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>s</w:t>
      </w:r>
      <w:r>
        <w:rPr>
          <w:rStyle w:val="BodyTextChar"/>
        </w:rPr>
        <w:t>igarette include almeno 20 sigarette</w:t>
      </w:r>
    </w:p>
    <w:p w14:paraId="7EB220C6" w14:textId="77777777" w:rsidR="00AA0AC6" w:rsidRDefault="00923CB6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>tabacco da arrotolare include almeno 30 chilogrammi</w:t>
      </w:r>
    </w:p>
    <w:p w14:paraId="12A03E59" w14:textId="77777777" w:rsidR="00AA0AC6" w:rsidRDefault="00923CB6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  <w:i/>
        </w:rPr>
        <w:t>porzioni di tabacco per uso orale include almeno 20 porzioni e 15 chilogrammi</w:t>
      </w:r>
    </w:p>
    <w:p w14:paraId="28849DE5" w14:textId="77777777" w:rsidR="00AA0AC6" w:rsidRDefault="00923CB6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>tabacco sfuso per uso orale (snus) include almeno 30 grammi.</w:t>
      </w:r>
    </w:p>
    <w:p w14:paraId="02AA3190" w14:textId="77777777" w:rsidR="00AA0AC6" w:rsidRDefault="00923CB6">
      <w:pPr>
        <w:pStyle w:val="BodyText"/>
        <w:ind w:firstLine="580"/>
      </w:pPr>
      <w:r>
        <w:rPr>
          <w:rStyle w:val="BodyTextChar"/>
        </w:rPr>
        <w:t>Tali confezioni unitarie non</w:t>
      </w:r>
      <w:r>
        <w:rPr>
          <w:rStyle w:val="BodyTextChar"/>
        </w:rPr>
        <w:t xml:space="preserve"> devono contenere pacchetti più piccoli e non devono essere suddivisi in pacchetti più piccoli.</w:t>
      </w:r>
    </w:p>
    <w:p w14:paraId="563C0CD8" w14:textId="77777777" w:rsidR="00AA0AC6" w:rsidRDefault="00923CB6">
      <w:pPr>
        <w:pStyle w:val="BodyText"/>
        <w:spacing w:after="80"/>
        <w:ind w:firstLine="580"/>
      </w:pPr>
      <w:r>
        <w:rPr>
          <w:rStyle w:val="BodyTextChar"/>
        </w:rPr>
        <w:t>I sigari possono essere venduti singolarmente in imballaggi recanti avvertenze sulla salute.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923C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923CB6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FE45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95pt;margin-top:787.95pt;width:2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t2fwEAAP4CAAAOAAAAZHJzL2Uyb0RvYy54bWysUsFqwzAMvQ/2D8b3NWkL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" filled="f" stroked="f">
              <v:textbox style="mso-fit-shape-to-text:t" inset="0,0,0,0">
                <w:txbxContent>
                  <w:p w14:paraId="20A706FC" w14:textId="77777777" w:rsidR="00AA0AC6" w:rsidRDefault="00923CB6">
                    <w:pPr>
                      <w:pStyle w:val="Headerorfooter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923CB6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3</cp:revision>
  <dcterms:created xsi:type="dcterms:W3CDTF">2023-01-30T12:45:00Z</dcterms:created>
  <dcterms:modified xsi:type="dcterms:W3CDTF">2023-02-06T09:15:00Z</dcterms:modified>
</cp:coreProperties>
</file>