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43EB" w14:textId="77777777" w:rsidR="00AA0AC6" w:rsidRDefault="004A3A9A">
      <w:pPr>
        <w:pStyle w:val="Heading10"/>
        <w:keepNext/>
        <w:keepLines/>
      </w:pPr>
      <w:bookmarkStart w:id="0" w:name="bookmark0"/>
      <w:r>
        <w:rPr>
          <w:rStyle w:val="Heading1"/>
        </w:rPr>
        <w:t>Tiesību akta projekts</w:t>
      </w:r>
      <w:bookmarkEnd w:id="0"/>
    </w:p>
    <w:p w14:paraId="08A98031" w14:textId="77777777" w:rsidR="00AA0AC6" w:rsidRDefault="004A3A9A">
      <w:pPr>
        <w:pStyle w:val="Heading20"/>
        <w:keepNext/>
        <w:keepLines/>
      </w:pPr>
      <w:bookmarkStart w:id="1" w:name="bookmark2"/>
      <w:r>
        <w:rPr>
          <w:rStyle w:val="Heading2"/>
        </w:rPr>
        <w:t>Papildinājumu un grozījumu daļas ir norādītas slīprakstā</w:t>
      </w:r>
      <w:bookmarkEnd w:id="1"/>
    </w:p>
    <w:p w14:paraId="69A787FA" w14:textId="77777777" w:rsidR="00AA0AC6" w:rsidRDefault="004A3A9A">
      <w:pPr>
        <w:pStyle w:val="Heading30"/>
        <w:keepNext/>
        <w:keepLines/>
        <w:spacing w:after="200" w:line="264" w:lineRule="auto"/>
      </w:pPr>
      <w:bookmarkStart w:id="2" w:name="bookmark4"/>
      <w:r>
        <w:rPr>
          <w:rStyle w:val="Heading3"/>
          <w:b/>
        </w:rPr>
        <w:t>1973. gada 9. marta Likuma Nr. 14 par tabakas kaitīgās ietekmes novēršanu grozījumu projekts</w:t>
      </w:r>
      <w:bookmarkEnd w:id="2"/>
    </w:p>
    <w:p w14:paraId="5B187A27" w14:textId="7E3EBB20" w:rsidR="00AA0AC6" w:rsidRDefault="001F37DB" w:rsidP="001F37DB">
      <w:pPr>
        <w:pStyle w:val="BodyText"/>
        <w:tabs>
          <w:tab w:val="left" w:pos="243"/>
        </w:tabs>
        <w:spacing w:after="120"/>
        <w:ind w:firstLine="0"/>
      </w:pPr>
      <w:r>
        <w:rPr>
          <w:rStyle w:val="BodyTextChar"/>
        </w:rPr>
        <w:t>30. pants. Iepakojuma un izstrādājuma standartizētais dizains un marķējums</w:t>
      </w:r>
    </w:p>
    <w:p w14:paraId="55131F6E" w14:textId="77777777" w:rsidR="00AA0AC6" w:rsidRDefault="004A3A9A">
      <w:pPr>
        <w:pStyle w:val="BodyText"/>
        <w:ind w:firstLine="580"/>
      </w:pPr>
      <w:r>
        <w:rPr>
          <w:rStyle w:val="BodyTextChar"/>
        </w:rPr>
        <w:t>Norvēģijā ir aizliegts importēt vai pārdot tādus tabakas izstrādājumiem paredzētus iepak</w:t>
      </w:r>
      <w:r>
        <w:rPr>
          <w:rStyle w:val="BodyTextChar"/>
        </w:rPr>
        <w:t xml:space="preserve">ojumus un tabakas izstrādājumus, kuriem nav standartizēta dizaina saskaņā ar ministrijas noteikumu prasībām. </w:t>
      </w:r>
      <w:r>
        <w:rPr>
          <w:rStyle w:val="BodyTextChar"/>
          <w:i/>
        </w:rPr>
        <w:t>Tas pats attiecas uz elektroniskajām cigaretēm un uzpildes flakoniem neatkarīgi no to nikotīna satura.</w:t>
      </w:r>
      <w:r>
        <w:rPr>
          <w:rStyle w:val="BodyTextChar"/>
        </w:rPr>
        <w:t xml:space="preserve"> Standartizāciju cita starpā var piemērot att</w:t>
      </w:r>
      <w:r>
        <w:rPr>
          <w:rStyle w:val="BodyTextChar"/>
        </w:rPr>
        <w:t>iecībā uz krāsu, formu, noformējumu, materiālu un marķējumu, tostarp zīmolvārdu, logotipu un citu ar zīmolu saistītu elementu izmantošanu.</w:t>
      </w:r>
    </w:p>
    <w:p w14:paraId="59A9A310" w14:textId="77777777" w:rsidR="00AA0AC6" w:rsidRDefault="004A3A9A">
      <w:pPr>
        <w:pStyle w:val="BodyText"/>
        <w:spacing w:after="540"/>
        <w:ind w:firstLine="580"/>
      </w:pPr>
      <w:r>
        <w:rPr>
          <w:rStyle w:val="BodyTextChar"/>
        </w:rPr>
        <w:t>Ministrija var izdot noteikumus par smēķēšanas piederumu un tabakas aizstājēju marķēšanas un dizaina līdzīgu standart</w:t>
      </w:r>
      <w:r>
        <w:rPr>
          <w:rStyle w:val="BodyTextChar"/>
        </w:rPr>
        <w:t>izāciju, kā arī noteikt izņēmumus konkrētām izstrādājumu kategorijām. Ministrija noteikumos var ierobežot to, kāda veida mazumtirdzniecības vietās ir atļauts tirgot izstrādājumus, uz kuriem attiecas atbrīvojums no standartizācijas prasības.</w:t>
      </w:r>
    </w:p>
    <w:p w14:paraId="5BE1906D" w14:textId="060A2BBD" w:rsidR="00AA0AC6" w:rsidRDefault="001F37DB" w:rsidP="001F37DB">
      <w:pPr>
        <w:pStyle w:val="BodyText"/>
        <w:tabs>
          <w:tab w:val="left" w:pos="243"/>
        </w:tabs>
        <w:spacing w:after="200"/>
        <w:ind w:firstLine="0"/>
      </w:pPr>
      <w:r>
        <w:rPr>
          <w:rStyle w:val="BodyTextChar"/>
        </w:rPr>
        <w:t>30.a pants. Brīdinājums par ietekmi uz veselību un izstrādājuma noformējums</w:t>
      </w:r>
    </w:p>
    <w:p w14:paraId="776E89D9" w14:textId="652A9ACA" w:rsidR="00AA0AC6" w:rsidRDefault="004A3A9A">
      <w:pPr>
        <w:pStyle w:val="BodyText"/>
        <w:spacing w:after="200" w:line="240" w:lineRule="auto"/>
        <w:ind w:firstLine="500"/>
      </w:pPr>
      <w:r>
        <w:rPr>
          <w:rStyle w:val="BodyTextChar"/>
        </w:rPr>
        <w:t>Norvēģijā ir aizliegts importēt vai tirgot tabakas izstrādājumus, elektroniskās cigaretes un uzpildes flakonus, kā arī smēķēšanai paredzētus augu izcelsmes izstrādājumus, kas nav marķēti ar brīdi</w:t>
      </w:r>
      <w:r>
        <w:rPr>
          <w:rStyle w:val="BodyTextChar"/>
        </w:rPr>
        <w:t>nājumiem par ietekmi uz veselību.</w:t>
      </w:r>
    </w:p>
    <w:p w14:paraId="66AB4B62" w14:textId="77777777" w:rsidR="00AA0AC6" w:rsidRDefault="004A3A9A">
      <w:pPr>
        <w:pStyle w:val="BodyText"/>
        <w:spacing w:line="240" w:lineRule="auto"/>
        <w:ind w:firstLine="500"/>
      </w:pPr>
      <w:r>
        <w:rPr>
          <w:rStyle w:val="BodyTextChar"/>
        </w:rPr>
        <w:t>[Norvēģijā ir aizliegts importēt vai tirgot tabakas izstrādājumus, smēķēšanai paredzētus augu izcelsmes izstrādājumus, elektroniskās cigaretes un uzpildes flakonus, kura marķējumā, tostarp, tekstā, nosaukumos, preču zīmēs,</w:t>
      </w:r>
      <w:r>
        <w:rPr>
          <w:rStyle w:val="BodyTextChar"/>
        </w:rPr>
        <w:t xml:space="preserve"> simbolos, attēlos u. tml., ir elementi, kas:</w:t>
      </w:r>
    </w:p>
    <w:p w14:paraId="5477CAB0" w14:textId="77777777" w:rsidR="00AA0AC6" w:rsidRDefault="004A3A9A">
      <w:pPr>
        <w:pStyle w:val="BodyText"/>
        <w:numPr>
          <w:ilvl w:val="0"/>
          <w:numId w:val="2"/>
        </w:numPr>
        <w:tabs>
          <w:tab w:val="left" w:pos="735"/>
        </w:tabs>
        <w:ind w:left="740" w:hanging="360"/>
      </w:pPr>
      <w:r>
        <w:rPr>
          <w:rStyle w:val="BodyTextChar"/>
        </w:rPr>
        <w:t>reklamē tabakas izstrādājumu vai veicina tā patēriņu, radot maldīgu iespaidu par tā īpašībām, ietekmi uz veselību, riskiem vai emisijām;</w:t>
      </w:r>
    </w:p>
    <w:p w14:paraId="12A7A4D9" w14:textId="77777777" w:rsidR="00AA0AC6" w:rsidRDefault="004A3A9A">
      <w:pPr>
        <w:pStyle w:val="BodyText"/>
        <w:numPr>
          <w:ilvl w:val="0"/>
          <w:numId w:val="2"/>
        </w:numPr>
        <w:tabs>
          <w:tab w:val="left" w:pos="735"/>
        </w:tabs>
        <w:ind w:left="740" w:hanging="360"/>
      </w:pPr>
      <w:r>
        <w:rPr>
          <w:rStyle w:val="BodyTextChar"/>
        </w:rPr>
        <w:t>ietver informāciju par nikotīna, darvas vai oglekļa monoksīda saturu taba</w:t>
      </w:r>
      <w:r>
        <w:rPr>
          <w:rStyle w:val="BodyTextChar"/>
        </w:rPr>
        <w:t>kas izstrādājumā;</w:t>
      </w:r>
    </w:p>
    <w:p w14:paraId="446BC351" w14:textId="77777777" w:rsidR="00AA0AC6" w:rsidRDefault="004A3A9A">
      <w:pPr>
        <w:pStyle w:val="BodyText"/>
        <w:numPr>
          <w:ilvl w:val="0"/>
          <w:numId w:val="2"/>
        </w:numPr>
        <w:tabs>
          <w:tab w:val="left" w:pos="735"/>
        </w:tabs>
        <w:ind w:left="740" w:hanging="360"/>
      </w:pPr>
      <w:r>
        <w:rPr>
          <w:rStyle w:val="BodyTextChar"/>
        </w:rPr>
        <w:t>rosina domāt, ka konkrētais izstrādājums ir mazāk kaitīgs nekā citi vai tam ir uzmundrinošas, enerģiju veicinošas, dziedinošas, atjaunojošas, dabiskas, bioloģiskas īpašības vai ka tas kā citādi uzlabo veselību vai dzīves kvalitāti;</w:t>
      </w:r>
    </w:p>
    <w:p w14:paraId="7530D3E3" w14:textId="77777777" w:rsidR="00AA0AC6" w:rsidRDefault="004A3A9A" w:rsidP="004A3A9A">
      <w:pPr>
        <w:pStyle w:val="BodyText"/>
        <w:numPr>
          <w:ilvl w:val="0"/>
          <w:numId w:val="2"/>
        </w:numPr>
        <w:tabs>
          <w:tab w:val="left" w:pos="732"/>
        </w:tabs>
        <w:ind w:left="740" w:hanging="360"/>
      </w:pPr>
      <w:r>
        <w:rPr>
          <w:rStyle w:val="BodyTextChar"/>
        </w:rPr>
        <w:t>atsauc</w:t>
      </w:r>
      <w:r>
        <w:rPr>
          <w:rStyle w:val="BodyTextChar"/>
        </w:rPr>
        <w:t>as uz garšu, smaržu, jebkādiem aromatizētājiem vai citām piedevām vai to trūkumu;</w:t>
      </w:r>
    </w:p>
    <w:p w14:paraId="6D3DA705" w14:textId="77777777" w:rsidR="00AA0AC6" w:rsidRDefault="004A3A9A">
      <w:pPr>
        <w:pStyle w:val="BodyText"/>
        <w:numPr>
          <w:ilvl w:val="0"/>
          <w:numId w:val="2"/>
        </w:numPr>
        <w:tabs>
          <w:tab w:val="left" w:pos="732"/>
        </w:tabs>
        <w:ind w:firstLine="380"/>
      </w:pPr>
      <w:r>
        <w:rPr>
          <w:rStyle w:val="BodyTextChar"/>
        </w:rPr>
        <w:t>padara izstrādājumu līdzīgu pārtikas vai kosmētikas produktiem;</w:t>
      </w:r>
    </w:p>
    <w:p w14:paraId="713D58E2" w14:textId="77777777" w:rsidR="00AA0AC6" w:rsidRDefault="004A3A9A" w:rsidP="004A3A9A">
      <w:pPr>
        <w:pStyle w:val="BodyText"/>
        <w:numPr>
          <w:ilvl w:val="0"/>
          <w:numId w:val="2"/>
        </w:numPr>
        <w:spacing w:after="200"/>
        <w:ind w:left="737" w:hanging="357"/>
      </w:pPr>
      <w:r>
        <w:rPr>
          <w:rStyle w:val="BodyTextChar"/>
        </w:rPr>
        <w:t>norāda, ka konkrētais tabakas izstrādājums sniedz labumu videi vai ekonomiskajai situācijai.</w:t>
      </w:r>
    </w:p>
    <w:p w14:paraId="5987CFDC" w14:textId="77777777" w:rsidR="00AA0AC6" w:rsidRDefault="004A3A9A">
      <w:pPr>
        <w:pStyle w:val="BodyText"/>
        <w:spacing w:after="200" w:line="240" w:lineRule="auto"/>
        <w:ind w:firstLine="500"/>
      </w:pPr>
      <w:r>
        <w:rPr>
          <w:rStyle w:val="BodyTextChar"/>
        </w:rPr>
        <w:t xml:space="preserve">Pirmās </w:t>
      </w:r>
      <w:r>
        <w:rPr>
          <w:rStyle w:val="BodyTextChar"/>
          <w:strike/>
        </w:rPr>
        <w:t>un otrās</w:t>
      </w:r>
      <w:r>
        <w:rPr>
          <w:rStyle w:val="BodyTextChar"/>
        </w:rPr>
        <w:t xml:space="preserve"> daļas noteikumi neattiecas uz vienreizlietojamām beznikotīna elektroniskajām cigaretēm un beznikotīna elektronisko cigarešu uzpildes flakoniem. Otr</w:t>
      </w:r>
      <w:r>
        <w:rPr>
          <w:rStyle w:val="BodyTextChar"/>
        </w:rPr>
        <w:t xml:space="preserve">ās daļas b) punkta aizliegums sniegt informāciju par nikotīna saturu un </w:t>
      </w:r>
      <w:r>
        <w:rPr>
          <w:rStyle w:val="BodyTextChar"/>
          <w:strike/>
        </w:rPr>
        <w:t>d) punktā iekļautā atsauce uz aromatizētājiem</w:t>
      </w:r>
      <w:r>
        <w:rPr>
          <w:rStyle w:val="BodyTextChar"/>
        </w:rPr>
        <w:t xml:space="preserve"> </w:t>
      </w:r>
      <w:r>
        <w:rPr>
          <w:rStyle w:val="BodyTextChar"/>
          <w:i/>
        </w:rPr>
        <w:t>neattiecas</w:t>
      </w:r>
      <w:r>
        <w:rPr>
          <w:rStyle w:val="BodyTextChar"/>
        </w:rPr>
        <w:t xml:space="preserve"> uz elektroniskajām cigaretēm un uzpildes flakoniem. Otrās daļas d) un f) punkts neattiecas uz smēķēšanai paredzētiem augu izcel</w:t>
      </w:r>
      <w:r>
        <w:rPr>
          <w:rStyle w:val="BodyTextChar"/>
        </w:rPr>
        <w:t xml:space="preserve">smes izstrādājumiem, tomēr ir </w:t>
      </w:r>
      <w:r>
        <w:rPr>
          <w:rStyle w:val="BodyTextChar"/>
        </w:rPr>
        <w:lastRenderedPageBreak/>
        <w:t>aizliegts norādīt, ka izstrādājums nesatur piedevas vai aromatizētājus.</w:t>
      </w:r>
    </w:p>
    <w:p w14:paraId="4A3E0B34" w14:textId="77777777" w:rsidR="00AA0AC6" w:rsidRDefault="004A3A9A">
      <w:pPr>
        <w:pStyle w:val="BodyText"/>
        <w:spacing w:after="200" w:line="240" w:lineRule="auto"/>
        <w:ind w:firstLine="500"/>
      </w:pPr>
      <w:r>
        <w:rPr>
          <w:rStyle w:val="BodyTextChar"/>
        </w:rPr>
        <w:t>Ministrija noteikumos var iekļaut papildnoteikumus pirmās un otrās daļas prasību izpildei, kā arī iekļaut atbrīvojumus no tām.</w:t>
      </w:r>
    </w:p>
    <w:p w14:paraId="4940B364" w14:textId="77777777" w:rsidR="00AA0AC6" w:rsidRDefault="004A3A9A" w:rsidP="001F37DB">
      <w:pPr>
        <w:pStyle w:val="BodyText"/>
        <w:keepNext/>
        <w:spacing w:after="140"/>
        <w:ind w:firstLine="0"/>
      </w:pPr>
      <w:r>
        <w:rPr>
          <w:rStyle w:val="BodyTextChar"/>
        </w:rPr>
        <w:t>Jauns 32. a pants. Aizliegu</w:t>
      </w:r>
      <w:r>
        <w:rPr>
          <w:rStyle w:val="BodyTextChar"/>
        </w:rPr>
        <w:t>ms aprakstīt elektronisko cigarešu u. c. izstrādājumu aromātus.</w:t>
      </w:r>
    </w:p>
    <w:p w14:paraId="522ED393" w14:textId="77777777" w:rsidR="00AA0AC6" w:rsidRDefault="004A3A9A">
      <w:pPr>
        <w:pStyle w:val="BodyText"/>
        <w:ind w:firstLine="580"/>
      </w:pPr>
      <w:r>
        <w:rPr>
          <w:rStyle w:val="BodyTextChar"/>
          <w:i/>
        </w:rPr>
        <w:t>Norvēģijā ir aizliegts importēt vai pārdot elektroniskās cigaretes un uzpildes flakonus, kuriem ir izteikts aromāts, neatkarīgi no nikotīna daudzuma šajos izstrādājumos. Tas pats attiecas uz l</w:t>
      </w:r>
      <w:r>
        <w:rPr>
          <w:rStyle w:val="BodyTextChar"/>
          <w:i/>
        </w:rPr>
        <w:t>ietošanai elektroniskajās cigaretēs paredzētajiem atsevišķiem aromatizētāju piedevu flakoniem.</w:t>
      </w:r>
    </w:p>
    <w:p w14:paraId="69779CD8" w14:textId="77777777" w:rsidR="00AA0AC6" w:rsidRDefault="004A3A9A">
      <w:pPr>
        <w:pStyle w:val="BodyText"/>
        <w:ind w:firstLine="580"/>
      </w:pPr>
      <w:r>
        <w:rPr>
          <w:rStyle w:val="BodyTextChar"/>
          <w:i/>
        </w:rPr>
        <w:t>Pirmajā daļā minētais aizliegums attiecas arī uz piederumiem un izstrādājuma daļām, kuras izmanto elektroniskajās cigaretēs un ar kurām ir iespējams mainīt izstr</w:t>
      </w:r>
      <w:r>
        <w:rPr>
          <w:rStyle w:val="BodyTextChar"/>
          <w:i/>
        </w:rPr>
        <w:t>ādājuma garšu vai aromātu.</w:t>
      </w:r>
    </w:p>
    <w:p w14:paraId="2CC900A2" w14:textId="77777777" w:rsidR="00AA0AC6" w:rsidRDefault="004A3A9A">
      <w:pPr>
        <w:pStyle w:val="BodyText"/>
        <w:spacing w:after="420"/>
        <w:ind w:firstLine="580"/>
      </w:pPr>
      <w:r>
        <w:rPr>
          <w:rStyle w:val="BodyTextChar"/>
          <w:i/>
        </w:rPr>
        <w:t>Ministrija var pieņemt papildu noteikumus attiecībā uz pirmajā un otrajā daļā minētajiem aizliegumiem, noteikt atbrīvojumus, noteikt aromatizējošu piedevu vai piedevu kombināciju maksimālos līmeņus, kā arī noteikt papildmaksu, la</w:t>
      </w:r>
      <w:r>
        <w:rPr>
          <w:rStyle w:val="BodyTextChar"/>
          <w:i/>
        </w:rPr>
        <w:t>i segtu valdības ieviestos pasākumus, kas saistīti ar minētajiem aizliegumiem un to uzraudzību. Ministrija noteikumos var pieņemt arī sarakstu, kurš nosaka, kādas aromatizētājvielas ir atļauts izmantot elektroniskajās cigaretēs un uzpildes flakonos.</w:t>
      </w:r>
    </w:p>
    <w:p w14:paraId="362A0B7D" w14:textId="77777777" w:rsidR="00AA0AC6" w:rsidRDefault="004A3A9A">
      <w:pPr>
        <w:pStyle w:val="Heading30"/>
        <w:keepNext/>
        <w:keepLines/>
        <w:spacing w:after="140" w:line="259" w:lineRule="auto"/>
      </w:pPr>
      <w:bookmarkStart w:id="3" w:name="bookmark6"/>
      <w:r>
        <w:rPr>
          <w:rStyle w:val="Heading3"/>
          <w:b/>
        </w:rPr>
        <w:t>2003. </w:t>
      </w:r>
      <w:r>
        <w:rPr>
          <w:rStyle w:val="Heading3"/>
          <w:b/>
        </w:rPr>
        <w:t>gada 6. februāra Noteikumu Nr. 141 par tabakas izstrādājumu u. c. saturu, marķēšanu un dizainu grozījumu projekts</w:t>
      </w:r>
      <w:bookmarkEnd w:id="3"/>
    </w:p>
    <w:p w14:paraId="06077C93" w14:textId="2B6CC7A0" w:rsidR="00AA0AC6" w:rsidRDefault="001F37DB" w:rsidP="001F37DB">
      <w:pPr>
        <w:pStyle w:val="BodyText"/>
        <w:tabs>
          <w:tab w:val="left" w:pos="278"/>
        </w:tabs>
        <w:spacing w:after="140"/>
        <w:ind w:firstLine="0"/>
      </w:pPr>
      <w:r>
        <w:rPr>
          <w:rStyle w:val="BodyTextChar"/>
        </w:rPr>
        <w:t>31. pants. Tabakas izstrādājumu minimālais izmērs un svars</w:t>
      </w:r>
    </w:p>
    <w:p w14:paraId="6842D5C9" w14:textId="77777777" w:rsidR="00AA0AC6" w:rsidRDefault="004A3A9A">
      <w:pPr>
        <w:pStyle w:val="BodyText"/>
        <w:ind w:firstLine="580"/>
      </w:pPr>
      <w:r>
        <w:rPr>
          <w:rStyle w:val="BodyTextChar"/>
        </w:rPr>
        <w:t>Tirdzniecībai paredzēta iepakojuma vienībā jābūt:</w:t>
      </w:r>
    </w:p>
    <w:p w14:paraId="67107DAC" w14:textId="77777777" w:rsidR="00AA0AC6" w:rsidRDefault="004A3A9A">
      <w:pPr>
        <w:pStyle w:val="BodyText"/>
        <w:numPr>
          <w:ilvl w:val="0"/>
          <w:numId w:val="3"/>
        </w:numPr>
        <w:tabs>
          <w:tab w:val="left" w:pos="1286"/>
        </w:tabs>
        <w:spacing w:line="240" w:lineRule="auto"/>
        <w:ind w:firstLine="940"/>
      </w:pPr>
      <w:r>
        <w:rPr>
          <w:rStyle w:val="BodyTextChar"/>
        </w:rPr>
        <w:t>cigarešu paciņā — vismaz 20 cigar</w:t>
      </w:r>
      <w:r>
        <w:rPr>
          <w:rStyle w:val="BodyTextChar"/>
        </w:rPr>
        <w:t>etēm;</w:t>
      </w:r>
    </w:p>
    <w:p w14:paraId="7EB220C6" w14:textId="77777777" w:rsidR="00AA0AC6" w:rsidRDefault="004A3A9A">
      <w:pPr>
        <w:pStyle w:val="BodyText"/>
        <w:numPr>
          <w:ilvl w:val="0"/>
          <w:numId w:val="3"/>
        </w:numPr>
        <w:tabs>
          <w:tab w:val="left" w:pos="1286"/>
          <w:tab w:val="left" w:pos="1300"/>
        </w:tabs>
        <w:spacing w:line="240" w:lineRule="auto"/>
        <w:ind w:firstLine="940"/>
      </w:pPr>
      <w:r>
        <w:rPr>
          <w:rStyle w:val="BodyTextChar"/>
        </w:rPr>
        <w:t>tinamās tabakas iepakojumā — vismaz 30 gramiem tabakas;</w:t>
      </w:r>
    </w:p>
    <w:p w14:paraId="12A03E59" w14:textId="77777777" w:rsidR="00AA0AC6" w:rsidRDefault="004A3A9A" w:rsidP="004A3A9A">
      <w:pPr>
        <w:pStyle w:val="BodyText"/>
        <w:numPr>
          <w:ilvl w:val="0"/>
          <w:numId w:val="3"/>
        </w:numPr>
        <w:spacing w:line="240" w:lineRule="auto"/>
        <w:ind w:left="1315" w:hanging="374"/>
      </w:pPr>
      <w:r>
        <w:rPr>
          <w:rStyle w:val="BodyTextChar"/>
          <w:i/>
        </w:rPr>
        <w:t>nikotīna spilventiņu iepakojumā — vismaz 20 spilventiņiem un 15 gramiem izstrādājuma;</w:t>
      </w:r>
    </w:p>
    <w:p w14:paraId="28849DE5" w14:textId="77777777" w:rsidR="00AA0AC6" w:rsidRDefault="004A3A9A">
      <w:pPr>
        <w:pStyle w:val="BodyText"/>
        <w:numPr>
          <w:ilvl w:val="0"/>
          <w:numId w:val="3"/>
        </w:numPr>
        <w:tabs>
          <w:tab w:val="left" w:pos="1286"/>
        </w:tabs>
        <w:spacing w:line="240" w:lineRule="auto"/>
        <w:ind w:firstLine="940"/>
      </w:pPr>
      <w:r>
        <w:rPr>
          <w:rStyle w:val="BodyTextChar"/>
          <w:i/>
        </w:rPr>
        <w:t>neiepakotas "Snus” tabakas gadījumā — vismaz 30 gramiem izstrādājuma.</w:t>
      </w:r>
    </w:p>
    <w:p w14:paraId="02AA3190" w14:textId="77777777" w:rsidR="00AA0AC6" w:rsidRDefault="004A3A9A">
      <w:pPr>
        <w:pStyle w:val="BodyText"/>
        <w:ind w:firstLine="580"/>
      </w:pPr>
      <w:r>
        <w:rPr>
          <w:rStyle w:val="BodyTextChar"/>
        </w:rPr>
        <w:t>Šajās iepakojuma vienībās nedrīkst būt</w:t>
      </w:r>
      <w:r>
        <w:rPr>
          <w:rStyle w:val="BodyTextChar"/>
        </w:rPr>
        <w:t xml:space="preserve"> iekļautas mazākas paciņas, un tās nedrīkst sadalīt mazākās paciņās.</w:t>
      </w:r>
    </w:p>
    <w:p w14:paraId="563C0CD8" w14:textId="77777777" w:rsidR="00AA0AC6" w:rsidRDefault="004A3A9A">
      <w:pPr>
        <w:pStyle w:val="BodyText"/>
        <w:spacing w:after="80"/>
        <w:ind w:firstLine="580"/>
      </w:pPr>
      <w:r>
        <w:rPr>
          <w:rStyle w:val="BodyTextChar"/>
        </w:rPr>
        <w:t>Cigārus var pārdot atsevišķi, uz iepakojuma norādot brīdinājumus par to ietekmi uz veselību.</w:t>
      </w:r>
    </w:p>
    <w:sectPr w:rsidR="00AA0AC6">
      <w:footerReference w:type="default" r:id="rId7"/>
      <w:pgSz w:w="11900" w:h="16840"/>
      <w:pgMar w:top="1599" w:right="1432" w:bottom="1855" w:left="1396" w:header="117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4F89" w14:textId="77777777" w:rsidR="002E616B" w:rsidRDefault="002E616B">
      <w:r>
        <w:separator/>
      </w:r>
    </w:p>
  </w:endnote>
  <w:endnote w:type="continuationSeparator" w:id="0">
    <w:p w14:paraId="43C0479E" w14:textId="77777777" w:rsidR="002E616B" w:rsidRDefault="002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2050" w14:textId="77777777" w:rsidR="00AA0AC6" w:rsidRDefault="004A3A9A">
    <w:pPr>
      <w:spacing w:line="1" w:lineRule="exact"/>
    </w:pPr>
    <w:r>
      <w:rPr>
        <w:noProof/>
      </w:rPr>
      <mc:AlternateContent>
        <mc:Choice Requires="wps">
          <w:drawing>
            <wp:anchor distT="0" distB="0" distL="0" distR="0" simplePos="0" relativeHeight="62914690" behindDoc="1" locked="0" layoutInCell="1" allowOverlap="1" wp14:anchorId="488FE458" wp14:editId="5337D9B0">
              <wp:simplePos x="0" y="0"/>
              <wp:positionH relativeFrom="page">
                <wp:posOffset>3745865</wp:posOffset>
              </wp:positionH>
              <wp:positionV relativeFrom="page">
                <wp:posOffset>10006965</wp:posOffset>
              </wp:positionV>
              <wp:extent cx="3683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14:paraId="20A706FC" w14:textId="77777777" w:rsidR="00AA0AC6" w:rsidRDefault="004A3A9A">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488FE458" id="_x0000_t202" coordsize="21600,21600" o:spt="202" path="m,l,21600r21600,l21600,xe">
              <v:stroke joinstyle="miter"/>
              <v:path gradientshapeok="t" o:connecttype="rect"/>
            </v:shapetype>
            <v:shape id="Shape 1" o:spid="_x0000_s1026" type="#_x0000_t202" style="position:absolute;margin-left:294.95pt;margin-top:787.95pt;width:2.9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" filled="f" stroked="f">
              <v:textbox style="mso-fit-shape-to-text:t" inset="0,0,0,0">
                <w:txbxContent>
                  <w:p w14:paraId="20A706FC" w14:textId="77777777" w:rsidR="00AA0AC6" w:rsidRDefault="004A3A9A">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99E2" w14:textId="77777777" w:rsidR="002E616B" w:rsidRDefault="002E616B"/>
  </w:footnote>
  <w:footnote w:type="continuationSeparator" w:id="0">
    <w:p w14:paraId="7675EB7F" w14:textId="77777777" w:rsidR="002E616B" w:rsidRDefault="002E6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B29"/>
    <w:multiLevelType w:val="multilevel"/>
    <w:tmpl w:val="8A4602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7D21F6"/>
    <w:multiLevelType w:val="multilevel"/>
    <w:tmpl w:val="3BBAA5D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CD7421"/>
    <w:multiLevelType w:val="multilevel"/>
    <w:tmpl w:val="BD6C5884"/>
    <w:lvl w:ilvl="0">
      <w:start w:val="4"/>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5376501">
    <w:abstractNumId w:val="2"/>
  </w:num>
  <w:num w:numId="2" w16cid:durableId="1832718140">
    <w:abstractNumId w:val="1"/>
  </w:num>
  <w:num w:numId="3" w16cid:durableId="122290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C6"/>
    <w:rsid w:val="001F37DB"/>
    <w:rsid w:val="002E616B"/>
    <w:rsid w:val="004A3A9A"/>
    <w:rsid w:val="00AA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F1CA"/>
  <w15:docId w15:val="{D0ABA9B6-12DE-4D0E-9488-FFC0253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lv-LV"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Cambria" w:eastAsia="Cambria" w:hAnsi="Cambria" w:cs="Cambria"/>
      <w:b w:val="0"/>
      <w:bCs w:val="0"/>
      <w:i w:val="0"/>
      <w:iCs w:val="0"/>
      <w:smallCaps w:val="0"/>
      <w:strike w:val="0"/>
      <w:color w:val="2E74B5"/>
      <w:sz w:val="32"/>
      <w:szCs w:val="32"/>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22"/>
      <w:szCs w:val="22"/>
      <w:u w:val="none"/>
    </w:rPr>
  </w:style>
  <w:style w:type="character" w:customStyle="1" w:styleId="Heading3">
    <w:name w:val="Heading #3_"/>
    <w:basedOn w:val="DefaultParagraphFont"/>
    <w:link w:val="Heading30"/>
    <w:rPr>
      <w:rFonts w:ascii="Cambria" w:eastAsia="Cambria" w:hAnsi="Cambria" w:cs="Cambria"/>
      <w:b/>
      <w:bCs/>
      <w:i w:val="0"/>
      <w:iCs w:val="0"/>
      <w:smallCaps w:val="0"/>
      <w:strike w:val="0"/>
      <w:sz w:val="22"/>
      <w:szCs w:val="22"/>
      <w:u w:val="none"/>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rPr>
  </w:style>
  <w:style w:type="paragraph" w:customStyle="1" w:styleId="Heading10">
    <w:name w:val="Heading #1"/>
    <w:basedOn w:val="Normal"/>
    <w:link w:val="Heading1"/>
    <w:pPr>
      <w:spacing w:after="260"/>
      <w:outlineLvl w:val="0"/>
    </w:pPr>
    <w:rPr>
      <w:rFonts w:ascii="Cambria" w:eastAsia="Cambria" w:hAnsi="Cambria" w:cs="Cambria"/>
      <w:color w:val="2E74B5"/>
      <w:sz w:val="32"/>
      <w:szCs w:val="32"/>
    </w:rPr>
  </w:style>
  <w:style w:type="paragraph" w:customStyle="1" w:styleId="Headerorfooter0">
    <w:name w:val="Header or footer"/>
    <w:basedOn w:val="Normal"/>
    <w:link w:val="Headerorfooter"/>
    <w:rPr>
      <w:rFonts w:ascii="Arial" w:eastAsia="Arial" w:hAnsi="Arial" w:cs="Arial"/>
      <w:sz w:val="22"/>
      <w:szCs w:val="22"/>
    </w:rPr>
  </w:style>
  <w:style w:type="paragraph" w:customStyle="1" w:styleId="Heading20">
    <w:name w:val="Heading #2"/>
    <w:basedOn w:val="Normal"/>
    <w:link w:val="Heading2"/>
    <w:pPr>
      <w:spacing w:after="440"/>
      <w:outlineLvl w:val="1"/>
    </w:pPr>
    <w:rPr>
      <w:rFonts w:ascii="Arial" w:eastAsia="Arial" w:hAnsi="Arial" w:cs="Arial"/>
      <w:sz w:val="22"/>
      <w:szCs w:val="22"/>
    </w:rPr>
  </w:style>
  <w:style w:type="paragraph" w:customStyle="1" w:styleId="Heading30">
    <w:name w:val="Heading #3"/>
    <w:basedOn w:val="Normal"/>
    <w:link w:val="Heading3"/>
    <w:pPr>
      <w:spacing w:after="170" w:line="262" w:lineRule="auto"/>
      <w:outlineLvl w:val="2"/>
    </w:pPr>
    <w:rPr>
      <w:rFonts w:ascii="Cambria" w:eastAsia="Cambria" w:hAnsi="Cambria" w:cs="Cambria"/>
      <w:b/>
      <w:bCs/>
      <w:sz w:val="22"/>
      <w:szCs w:val="22"/>
    </w:rPr>
  </w:style>
  <w:style w:type="paragraph" w:styleId="BodyText">
    <w:name w:val="Body Text"/>
    <w:basedOn w:val="Normal"/>
    <w:link w:val="BodyTextChar"/>
    <w:qFormat/>
    <w:pPr>
      <w:spacing w:line="259" w:lineRule="auto"/>
      <w:ind w:firstLine="40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Helena</dc:creator>
  <cp:keywords/>
  <cp:lastModifiedBy>Liana Brili</cp:lastModifiedBy>
  <cp:revision>3</cp:revision>
  <dcterms:created xsi:type="dcterms:W3CDTF">2023-01-30T12:45:00Z</dcterms:created>
  <dcterms:modified xsi:type="dcterms:W3CDTF">2023-02-06T09:21:00Z</dcterms:modified>
</cp:coreProperties>
</file>