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000000">
      <w:pPr>
        <w:pStyle w:val="Heading10"/>
        <w:keepNext/>
        <w:keepLines/>
      </w:pPr>
      <w:bookmarkStart w:id="0" w:name="bookmark0"/>
      <w:r>
        <w:rPr>
          <w:rStyle w:val="Heading1"/>
        </w:rPr>
        <w:t xml:space="preserve">Abbozzi ta’ proposti leġiżlattivi</w:t>
      </w:r>
      <w:bookmarkEnd w:id="0"/>
    </w:p>
    <w:p w14:paraId="08A98031" w14:textId="77777777" w:rsidR="00AA0AC6" w:rsidRDefault="00000000">
      <w:pPr>
        <w:pStyle w:val="Heading20"/>
        <w:keepNext/>
        <w:keepLines/>
      </w:pPr>
      <w:bookmarkStart w:id="1" w:name="bookmark2"/>
      <w:r>
        <w:rPr>
          <w:rStyle w:val="Heading2"/>
        </w:rPr>
        <w:t xml:space="preserve">Iż-żidiet u l-emendi huma bil-korsiv.</w:t>
      </w:r>
      <w:bookmarkEnd w:id="1"/>
    </w:p>
    <w:p w14:paraId="69A787FA" w14:textId="77777777" w:rsidR="00AA0AC6" w:rsidRDefault="00000000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 xml:space="preserve">Abbozz ta’ emendi għall-Att tad-9 ta’ Marzu 1973 Nru 14 dwar il-prevenzjoni tal-effetti dannużi tat-tabakk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 xml:space="preserve">§ 30.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Disinn u tikkettar standardizzati tal-imballaġġ u tal-prodotti</w:t>
      </w:r>
    </w:p>
    <w:p w14:paraId="55131F6E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Huwa pprojbit l-importazzjoni fin-Norveġja jew il-bejgħ ta’ pakketti tat-tabakk u prodotti tat-tabakk li mhumiex ta’ disinn standardizzat skont id-dispożizzjonijiet dettaljati stabbiliti mill-Ministeru fir-regolamenti.</w:t>
      </w:r>
      <w:r>
        <w:rPr>
          <w:rStyle w:val="BodyTextChar"/>
        </w:rPr>
        <w:t xml:space="preserve"> </w:t>
      </w:r>
      <w:r>
        <w:rPr>
          <w:rStyle w:val="BodyTextChar"/>
          <w:i/>
        </w:rPr>
        <w:t xml:space="preserve">L-istess japplika għas-sigaretti elettroniċi u l-kontenituri ta’ rikarika, irrispettivament mill-kontenut tan-nikotina.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L-istandardizzazzjoni tista’ fost l-oħrajn tapplika għall-kulur, il-forma, id-dehra, il-materjal u t-tikkettar, inkluż l-użu ta’ ismijiet ta’ ditti, logos u elementi oħra marbuta mal-marka</w:t>
      </w:r>
    </w:p>
    <w:p w14:paraId="59A9A310" w14:textId="77777777" w:rsidR="00AA0AC6" w:rsidRDefault="00000000">
      <w:pPr>
        <w:pStyle w:val="BodyText"/>
        <w:spacing w:after="540"/>
        <w:ind w:firstLine="580"/>
      </w:pPr>
      <w:r>
        <w:rPr>
          <w:rStyle w:val="BodyTextChar"/>
        </w:rPr>
        <w:t xml:space="preserve">Il-Ministeru jista’ joħroġ regolamenti fir-rigward ta’ standardizzazzjoni simili tat-tikkettar u d-disinn tal-imballaġġ għall-aċċessorji tat-tipjip u s-sostituti tat-tabakk, u jagħmel eżenzjonijiet għal kategoriji speċifiċi ta’ prodotti.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Il-Ministeru jista’ fir-regolamenti jillimita liema tip ta’ stabbilimenti tal-bejgħ bl-imnut jistgħu jbigħu prodotti li huma eżentati mir-rekwiżit ta’ standardizzazzjoni.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 xml:space="preserve">§ 30a.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Twissija tas-saħħa u preżentazzjoni tal-prodott</w:t>
      </w:r>
    </w:p>
    <w:p w14:paraId="776E89D9" w14:textId="652A9ACA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Huwa pprojbit li jiġu importati fin-Norveġja jew mibjugħa prodotti tat-tabakk, sigaretti elettroniċi u kontenituri ta’ rikarika kif ukoll prodotti erbali għat-tipjip, li mhumiex ittikkettati bi twissijiet tas-saħħa.</w:t>
      </w:r>
    </w:p>
    <w:p w14:paraId="66AB4B62" w14:textId="77777777" w:rsidR="00AA0AC6" w:rsidRDefault="00000000">
      <w:pPr>
        <w:pStyle w:val="BodyText"/>
        <w:spacing w:line="240" w:lineRule="auto"/>
        <w:ind w:firstLine="500"/>
      </w:pPr>
      <w:r>
        <w:rPr>
          <w:rStyle w:val="BodyTextChar"/>
        </w:rPr>
        <w:t xml:space="preserve">[Huwa pprojbit li jiġu importati fin-Norveġja jew li jinbiegħu prodotti tat-tabakk, prodotti erbali għat-tipjip, sigaretti elettroniċi u kontenituri ta’ rikarika ttikkettati bi kwalunkwe element jew karatteristika, inklużi testi, ismijiet, trademarks, simboli, sinjali figurattivi jew sinjali oħra, li:</w:t>
      </w:r>
    </w:p>
    <w:p w14:paraId="5477CAB0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jippromwovu prodott tat-tabakk jew jinkoraġġixxu l-konsum tiegħu billi joħolqu impressjoni żbaljata dwar il-karatteristiċi, l-effetti fuq is-saħħa, ir-riskji jew l-emissjonijiet tiegħu;</w:t>
      </w:r>
    </w:p>
    <w:p w14:paraId="12A7A4D9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jinkludu kwalunkwe informazzjoni dwar il-kontenut ta’ nikotina, qatran jew monossidu tal-karbonju tal-prodott tat-tabakk;</w:t>
      </w:r>
    </w:p>
    <w:p w14:paraId="446BC351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jissuġġerixxu li prodott partikolari huwa inqas ta’ ħsara minn oħrajn jew għandu proprjetajiet ta’ vitalità, enerġetiċi, ta’ fejqan, ta’ tiġdid, naturali u organiċi jew għandu benefiċċji oħra għas-saħħa jew l-istil tal-ħajja;</w:t>
      </w:r>
    </w:p>
    <w:p w14:paraId="7530D3E3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 xml:space="preserve">jirreferu għat-togħma, għar-riħa, jew għal kwalunkwe ħwawar jew addittivi oħra jew in-nuqqas tagħhom;</w:t>
      </w:r>
    </w:p>
    <w:p w14:paraId="6D3DA705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 xml:space="preserve">jixbhu ikel jew prodott kożmetiku;</w:t>
      </w:r>
    </w:p>
    <w:p w14:paraId="713D58E2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  <w:tab w:val="left" w:pos="735"/>
        </w:tabs>
        <w:spacing w:after="200"/>
        <w:ind w:firstLine="380"/>
      </w:pPr>
      <w:r>
        <w:rPr>
          <w:rStyle w:val="BodyTextChar"/>
        </w:rPr>
        <w:t xml:space="preserve">jissuġġerixxu li ċertu prodott tat-tabakk għandu vantaġġi ambjentali jew finanzjarji.</w:t>
      </w:r>
    </w:p>
    <w:p w14:paraId="5987CFDC" w14:textId="77777777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Id-dispożizzjonijiet tal-ewwel </w:t>
      </w:r>
      <w:r>
        <w:rPr>
          <w:rStyle w:val="BodyTextChar"/>
          <w:strike/>
        </w:rPr>
        <w:t xml:space="preserve">u t-ti</w:t>
      </w:r>
      <w:r>
        <w:rPr>
          <w:rStyle w:val="BodyTextChar"/>
        </w:rPr>
        <w:t xml:space="preserve">e</w:t>
      </w:r>
      <w:r>
        <w:rPr>
          <w:rStyle w:val="BodyTextChar"/>
          <w:strike/>
        </w:rPr>
        <w:t xml:space="preserve">ni</w:t>
      </w:r>
      <w:r>
        <w:rPr>
          <w:rStyle w:val="BodyTextChar"/>
        </w:rPr>
        <w:t xml:space="preserve"> paragrafu ma japplikawx għal sigaretti elettroniċi li jintremew wara l-użu mingħajr nikotina u kontenituri ta’ mili mill-ġdid mingħajr nikotina.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Il-projbizzjoni dwar l-informazzjoni dwar il-kontenut tan-nikotina fit-tieni paragrafu litra b </w:t>
      </w:r>
      <w:r>
        <w:rPr>
          <w:rStyle w:val="BodyTextChar"/>
          <w:strike/>
        </w:rPr>
        <w:t xml:space="preserve"> u r</w:t>
      </w:r>
      <w:r>
        <w:rPr>
          <w:rStyle w:val="BodyTextChar"/>
        </w:rPr>
        <w:t xml:space="preserve">e</w:t>
      </w:r>
      <w:r>
        <w:rPr>
          <w:rStyle w:val="BodyTextChar"/>
          <w:strike/>
        </w:rPr>
        <w:t xml:space="preserve">f</w:t>
      </w:r>
      <w:r>
        <w:rPr>
          <w:rStyle w:val="BodyTextChar"/>
        </w:rPr>
        <w:t xml:space="preserve">e</w:t>
      </w:r>
      <w:r>
        <w:rPr>
          <w:rStyle w:val="BodyTextChar"/>
          <w:strike/>
        </w:rPr>
        <w:t xml:space="preserve">r</w:t>
      </w:r>
      <w:r>
        <w:rPr>
          <w:rStyle w:val="BodyTextChar"/>
        </w:rPr>
        <w:t xml:space="preserve">e</w:t>
      </w:r>
      <w:r>
        <w:rPr>
          <w:rStyle w:val="BodyTextChar"/>
          <w:strike/>
        </w:rPr>
        <w:t xml:space="preserve">nz</w:t>
      </w:r>
      <w:r>
        <w:rPr>
          <w:rStyle w:val="BodyTextChar"/>
        </w:rPr>
        <w:t xml:space="preserve">a </w:t>
      </w:r>
      <w:r>
        <w:rPr>
          <w:rStyle w:val="BodyTextChar"/>
          <w:strike/>
        </w:rPr>
        <w:t xml:space="preserve"> għall-ħwawar fil-litra d</w:t>
      </w:r>
      <w:r>
        <w:rPr>
          <w:rStyle w:val="BodyTextChar"/>
        </w:rPr>
        <w:t xml:space="preserve"> </w:t>
      </w:r>
      <w:r>
        <w:rPr>
          <w:rStyle w:val="BodyTextChar"/>
          <w:i/>
        </w:rPr>
        <w:t xml:space="preserve"> ma </w:t>
      </w:r>
      <w:r>
        <w:rPr>
          <w:rStyle w:val="BodyTextChar"/>
        </w:rPr>
        <w:t xml:space="preserve"> ma tapplikax għas-sigaretti elettroniċi u kontenituri ta’ rikarika.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It-tieni paragrafu litra d u litra f ma japplikax għal prodotti erbali għat-tipjip, iżda madankollu mhuwiex permess li jiġi ddikjarat li l-prodott huwa ħieles minn addittivi jew aromatizzanti.</w:t>
      </w:r>
    </w:p>
    <w:p w14:paraId="4A3E0B34" w14:textId="77777777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Il-Ministeru jista’ fir-regolamenti jistabbilixxi dispożizzjonijiet supplimentari biex jimplimenta r-rekwiżiti fl-ewwel u t-tieni paragrafu, u jagħmel eżenzjonijiet minnhom.</w:t>
      </w:r>
    </w:p>
    <w:p w14:paraId="4940B364" w14:textId="77777777" w:rsidR="00AA0AC6" w:rsidRDefault="00000000" w:rsidP="001F37DB">
      <w:pPr>
        <w:pStyle w:val="BodyText"/>
        <w:keepNext/>
        <w:spacing w:after="140"/>
        <w:ind w:firstLine="0"/>
      </w:pPr>
      <w:r>
        <w:rPr>
          <w:rStyle w:val="BodyTextChar"/>
        </w:rPr>
        <w:t xml:space="preserve">§ 32 a ġdid. Projbizzjoni fuq togħmiet karatterizzanti fis-sigaretti elettroniċi eċċ.</w:t>
      </w:r>
    </w:p>
    <w:p w14:paraId="522ED393" w14:textId="77777777" w:rsidR="00AA0AC6" w:rsidRDefault="00000000">
      <w:pPr>
        <w:pStyle w:val="BodyText"/>
        <w:ind w:firstLine="580"/>
      </w:pPr>
      <w:r>
        <w:rPr>
          <w:rStyle w:val="BodyTextChar"/>
          <w:i/>
        </w:rPr>
        <w:t xml:space="preserve">Huwa pprojbit li jiġu importati jew mibjugħa fin-Norveġja sigaretti elettroniċi u kontenituri ta’ rikarika, irrispettivament mill-kontenut tan-nikotina, b’togħmiet karatterizzanti.</w:t>
      </w:r>
      <w:r>
        <w:rPr>
          <w:rStyle w:val="BodyTextChar"/>
          <w:i/>
        </w:rPr>
        <w:t xml:space="preserve"> </w:t>
      </w:r>
      <w:r>
        <w:rPr>
          <w:rStyle w:val="BodyTextChar"/>
          <w:i/>
        </w:rPr>
        <w:t xml:space="preserve">L-istess japplika għal kontenituri separati ta’ addittivi tat-togħma għall-użu fis-sigaretti elettroniċi.</w:t>
      </w:r>
    </w:p>
    <w:p w14:paraId="69779CD8" w14:textId="77777777" w:rsidR="00AA0AC6" w:rsidRDefault="00000000">
      <w:pPr>
        <w:pStyle w:val="BodyText"/>
        <w:ind w:firstLine="580"/>
      </w:pPr>
      <w:r>
        <w:rPr>
          <w:rStyle w:val="BodyTextChar"/>
          <w:i/>
        </w:rPr>
        <w:t xml:space="preserve">Il-projbizzjoni msemmija fl-ewwel paragrafu tapplika wkoll għat-tagħmir u l-komponenti li jintużaw fil-kuntest tas-sigaretti elettroniċi, li jippermettu li jinbidlu t-togħma jew ir-riħa tal-prodotti.</w:t>
      </w:r>
    </w:p>
    <w:p w14:paraId="2CC900A2" w14:textId="77777777" w:rsidR="00AA0AC6" w:rsidRDefault="00000000">
      <w:pPr>
        <w:pStyle w:val="BodyText"/>
        <w:spacing w:after="420"/>
        <w:ind w:firstLine="580"/>
      </w:pPr>
      <w:r>
        <w:rPr>
          <w:rStyle w:val="BodyTextChar"/>
          <w:i/>
        </w:rPr>
        <w:t xml:space="preserve">Il-Ministeru jista’ jagħmel regolamenti supplimentari dwar il-projbizzjonijiet fl-ewwel u t-tieni paragrafu, jagħmel eżenzjonijiet, jistabbilixxi livelli massimi ta’ addittivi jew kombinamenti ta’ addittivi li jagħtu togħma karatterizzanti, u jistabbilixxi tariffi biex ikopru l-ġestjoni u s-superviżjoni tal-projbizzjonijiet mill-gvernijiet.</w:t>
      </w:r>
      <w:r>
        <w:rPr>
          <w:rStyle w:val="BodyTextChar"/>
          <w:i/>
        </w:rPr>
        <w:t xml:space="preserve"> </w:t>
      </w:r>
      <w:r>
        <w:rPr>
          <w:rStyle w:val="BodyTextChar"/>
          <w:i/>
        </w:rPr>
        <w:t xml:space="preserve">Il-Ministeru jista’ wkoll fir-regolamenti jadotta lista ta’ liema addittivi li jiddeterminaw it-togħma huma permissibbli li jintużaw bħala ingredjenti f’sigaretti elettroniċi u kontenituri ta’ rikarika.</w:t>
      </w:r>
    </w:p>
    <w:p w14:paraId="362A0B7D" w14:textId="77777777" w:rsidR="00AA0AC6" w:rsidRDefault="00000000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 xml:space="preserve">Abbozz ta’ emendi għar-Regolamenti tas-6 ta’ Frar 2003 Nru 141 dwar il-kontenut, l-ittikkettjar u d-disinn tal-prodotti tat-tabakk eċċ.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 xml:space="preserve">§ 31.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Daqs u piż minimu għall-prodotti tat-tabakk</w:t>
      </w:r>
    </w:p>
    <w:p w14:paraId="6842D5C9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Pakkett individwali għall-bejgħ lill-konsumaturi li fih</w:t>
      </w:r>
    </w:p>
    <w:p w14:paraId="67107DAC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 xml:space="preserve">is-sigaretti għandu jkun fih mill-inqas 20 sigarett</w:t>
      </w:r>
    </w:p>
    <w:p w14:paraId="7EB220C6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 xml:space="preserve">it-tabakk tal-brim għandu jkun fih mill-inqas 30 gramma</w:t>
      </w:r>
    </w:p>
    <w:p w14:paraId="12A03E59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  <w:i/>
        </w:rPr>
        <w:t xml:space="preserve">il-porzjonijiet tat-tabakk għall-użu orali għandu jkun fihom mill-inqas 20 porzjon u 15-il gramma</w:t>
      </w:r>
    </w:p>
    <w:p w14:paraId="28849DE5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  <w:i/>
        </w:rPr>
        <w:t xml:space="preserve">tabakk maħlul għal snus orali ta’ mill-inqas 30 gramma.</w:t>
      </w:r>
    </w:p>
    <w:p w14:paraId="02AA3190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Dawn il-pakketti individwali m’għandux ikun fihom pakketti iżgħar u m’għandhomx ikunu jistgħu jiġu diviżi f’pakketti iżgħar.</w:t>
      </w:r>
    </w:p>
    <w:p w14:paraId="563C0CD8" w14:textId="77777777" w:rsidR="00AA0AC6" w:rsidRDefault="00000000">
      <w:pPr>
        <w:pStyle w:val="BodyText"/>
        <w:spacing w:after="80"/>
        <w:ind w:firstLine="580"/>
      </w:pPr>
      <w:r>
        <w:rPr>
          <w:rStyle w:val="BodyTextChar"/>
        </w:rPr>
        <w:t xml:space="preserve">Is-sigarri jistgħu jinbiegħu individwalment bi twissijiet tas-saħħa fuq l-imballaġġ.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000000">
    <w:pPr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000000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94999999999999pt;margin-top:787.95000000000005pt;width:2.8999999999999999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E616B"/>
    <w:rsid w:val="00A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mt-MT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2</cp:revision>
  <dcterms:created xsi:type="dcterms:W3CDTF">2023-01-30T12:45:00Z</dcterms:created>
  <dcterms:modified xsi:type="dcterms:W3CDTF">2023-01-30T12:49:00Z</dcterms:modified>
</cp:coreProperties>
</file>