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C9519F">
      <w:pPr>
        <w:pStyle w:val="Heading10"/>
        <w:keepNext/>
        <w:keepLines/>
      </w:pPr>
      <w:bookmarkStart w:id="0" w:name="bookmark0"/>
      <w:r>
        <w:rPr>
          <w:rStyle w:val="Heading1"/>
        </w:rPr>
        <w:t>Voorstel tot wijziging van de wet betreffende de schadelijke gevolgen van tabak</w:t>
      </w:r>
      <w:bookmarkEnd w:id="0"/>
    </w:p>
    <w:p w14:paraId="08A98031" w14:textId="77777777" w:rsidR="00AA0AC6" w:rsidRDefault="00C9519F">
      <w:pPr>
        <w:pStyle w:val="Heading20"/>
        <w:keepNext/>
        <w:keepLines/>
      </w:pPr>
      <w:bookmarkStart w:id="1" w:name="bookmark2"/>
      <w:r>
        <w:rPr>
          <w:rStyle w:val="Heading2"/>
        </w:rPr>
        <w:t>Aanvullingen en wijzigingen in cursief.</w:t>
      </w:r>
      <w:bookmarkEnd w:id="1"/>
    </w:p>
    <w:p w14:paraId="69A787FA" w14:textId="77777777" w:rsidR="00AA0AC6" w:rsidRDefault="00C9519F">
      <w:pPr>
        <w:pStyle w:val="Heading30"/>
        <w:keepNext/>
        <w:keepLines/>
        <w:spacing w:after="200" w:line="264" w:lineRule="auto"/>
      </w:pPr>
      <w:bookmarkStart w:id="2" w:name="bookmark4"/>
      <w:r>
        <w:rPr>
          <w:rStyle w:val="Heading3"/>
          <w:b/>
        </w:rPr>
        <w:t>In wet nr. 14 van 9 maart 1973 betreffende bescherming tegen de schadelijke gevolgen van tabak worden de volgende wijzigingen voorgesteld</w:t>
      </w:r>
      <w:bookmarkEnd w:id="2"/>
    </w:p>
    <w:p w14:paraId="5B187A27" w14:textId="7E3EBB20" w:rsidR="00AA0AC6" w:rsidRDefault="001F37DB" w:rsidP="001F37DB">
      <w:pPr>
        <w:pStyle w:val="BodyText"/>
        <w:tabs>
          <w:tab w:val="left" w:pos="243"/>
        </w:tabs>
        <w:spacing w:after="120"/>
        <w:ind w:firstLine="0"/>
      </w:pPr>
      <w:r>
        <w:rPr>
          <w:rStyle w:val="BodyTextChar"/>
        </w:rPr>
        <w:t>§ 30. Gestandaardiseerd ontwerp en etikettering van verpakkingen en producten</w:t>
      </w:r>
    </w:p>
    <w:p w14:paraId="55131F6E" w14:textId="77777777" w:rsidR="00AA0AC6" w:rsidRDefault="00C9519F">
      <w:pPr>
        <w:pStyle w:val="BodyText"/>
        <w:ind w:firstLine="580"/>
      </w:pPr>
      <w:r>
        <w:rPr>
          <w:rStyle w:val="BodyTextChar"/>
        </w:rPr>
        <w:t>Het is verboden in Noorwegen tabaksverpa</w:t>
      </w:r>
      <w:r>
        <w:rPr>
          <w:rStyle w:val="BodyTextChar"/>
        </w:rPr>
        <w:t xml:space="preserve">kkingen en tabaksproducten in te voeren of te verkopen die niet gestandaardiseerd zijn overeenkomstig gedetailleerde bepalingen die door het ministerie in voorschriften zijn vastgesteld. </w:t>
      </w:r>
      <w:r>
        <w:rPr>
          <w:rStyle w:val="BodyTextChar"/>
          <w:i/>
        </w:rPr>
        <w:t>Hetzelfde geldt voor elektronische sigaretten en navulverpakkingen, o</w:t>
      </w:r>
      <w:r>
        <w:rPr>
          <w:rStyle w:val="BodyTextChar"/>
          <w:i/>
        </w:rPr>
        <w:t>ngeacht het nicotinegehalte.</w:t>
      </w:r>
      <w:r>
        <w:rPr>
          <w:rStyle w:val="BodyTextChar"/>
        </w:rPr>
        <w:t xml:space="preserve"> De standaardisatie kan onder meer van toepassing zijn op kleur, vorm, uiterlijk, materiaal en etikettering, met inbegrip van het gebruik van merknamen, logo’s en andere elementen die verband houden met branding.</w:t>
      </w:r>
    </w:p>
    <w:p w14:paraId="59A9A310" w14:textId="77777777" w:rsidR="00AA0AC6" w:rsidRDefault="00C9519F">
      <w:pPr>
        <w:pStyle w:val="BodyText"/>
        <w:spacing w:after="540"/>
        <w:ind w:firstLine="580"/>
      </w:pPr>
      <w:r>
        <w:rPr>
          <w:rStyle w:val="BodyTextChar"/>
        </w:rPr>
        <w:t xml:space="preserve">Het ministerie </w:t>
      </w:r>
      <w:r>
        <w:rPr>
          <w:rStyle w:val="BodyTextChar"/>
        </w:rPr>
        <w:t>kan in voorschriften eisen vaststellen met betrekking tot overeenkomstige standaardisering van rooktoebehoren en tabaksvervangers, en vrijstellingen verlenen voor specifieke productcategorieën. Het ministerie kan in voorschriften beperkingen opleggen aan h</w:t>
      </w:r>
      <w:r>
        <w:rPr>
          <w:rStyle w:val="BodyTextChar"/>
        </w:rPr>
        <w:t>et type detailhandelszaken waar producten die zijn vrijgesteld van de verplichting van standaardisatie, verkocht mogen worden.</w:t>
      </w:r>
    </w:p>
    <w:p w14:paraId="5BE1906D" w14:textId="060A2BBD" w:rsidR="00AA0AC6" w:rsidRDefault="001F37DB" w:rsidP="001F37DB">
      <w:pPr>
        <w:pStyle w:val="BodyText"/>
        <w:tabs>
          <w:tab w:val="left" w:pos="243"/>
        </w:tabs>
        <w:spacing w:after="200"/>
        <w:ind w:firstLine="0"/>
      </w:pPr>
      <w:r>
        <w:rPr>
          <w:rStyle w:val="BodyTextChar"/>
        </w:rPr>
        <w:t>§ 30a. Gezondheidswaarschuwing en productpresentatie</w:t>
      </w:r>
    </w:p>
    <w:p w14:paraId="776E89D9" w14:textId="652A9ACA" w:rsidR="00AA0AC6" w:rsidRDefault="00C9519F">
      <w:pPr>
        <w:pStyle w:val="BodyText"/>
        <w:spacing w:after="200" w:line="240" w:lineRule="auto"/>
        <w:ind w:firstLine="500"/>
      </w:pPr>
      <w:r>
        <w:rPr>
          <w:rStyle w:val="BodyTextChar"/>
        </w:rPr>
        <w:t>Het is verboden in Noorwegen tabaksproducten, elektronische sigaretten en na</w:t>
      </w:r>
      <w:r>
        <w:rPr>
          <w:rStyle w:val="BodyTextChar"/>
        </w:rPr>
        <w:t>vulverpakkingen alsmede kruidenproducten om te roken, in te voeren of te verkopen die niet met gezondheidswaarschuwingen zijn geëtiketteerd.</w:t>
      </w:r>
    </w:p>
    <w:p w14:paraId="66AB4B62" w14:textId="77777777" w:rsidR="00AA0AC6" w:rsidRDefault="00C9519F">
      <w:pPr>
        <w:pStyle w:val="BodyText"/>
        <w:spacing w:line="240" w:lineRule="auto"/>
        <w:ind w:firstLine="500"/>
      </w:pPr>
      <w:r>
        <w:rPr>
          <w:rStyle w:val="BodyTextChar"/>
        </w:rPr>
        <w:t>Het is verboden in Noorwegen tabaksproducten, kruidenproducten om te roken, elektronische sigaretten en navulverpak</w:t>
      </w:r>
      <w:r>
        <w:rPr>
          <w:rStyle w:val="BodyTextChar"/>
        </w:rPr>
        <w:t>kingen in te voeren of te verkopen, die zijn geëtiketteerd met elementen, met inbegrip van teksten, namen, handelsmerken, symbolen, figuratieve of andere tekens, die:</w:t>
      </w:r>
    </w:p>
    <w:p w14:paraId="5477CAB0" w14:textId="46B426FF" w:rsidR="00AA0AC6" w:rsidRDefault="00C9519F">
      <w:pPr>
        <w:pStyle w:val="BodyText"/>
        <w:numPr>
          <w:ilvl w:val="0"/>
          <w:numId w:val="2"/>
        </w:numPr>
        <w:tabs>
          <w:tab w:val="left" w:pos="735"/>
        </w:tabs>
        <w:ind w:left="740" w:hanging="360"/>
      </w:pPr>
      <w:r>
        <w:rPr>
          <w:rStyle w:val="BodyTextChar"/>
        </w:rPr>
        <w:t>een tabaksproduct aanprijzen of de consumptie ervan aanmoedigen door een verkeerde ind</w:t>
      </w:r>
      <w:r>
        <w:rPr>
          <w:rStyle w:val="BodyTextChar"/>
        </w:rPr>
        <w:t>ruk te wekken over de eigenschappen, gevolgen voor de gezondheid, risico's of emissies ervan;</w:t>
      </w:r>
    </w:p>
    <w:p w14:paraId="12A7A4D9" w14:textId="5F0C5FEA" w:rsidR="00AA0AC6" w:rsidRDefault="00C9519F">
      <w:pPr>
        <w:pStyle w:val="BodyText"/>
        <w:numPr>
          <w:ilvl w:val="0"/>
          <w:numId w:val="2"/>
        </w:numPr>
        <w:tabs>
          <w:tab w:val="left" w:pos="735"/>
        </w:tabs>
        <w:ind w:left="740" w:hanging="360"/>
      </w:pPr>
      <w:r>
        <w:rPr>
          <w:rStyle w:val="BodyTextChar"/>
        </w:rPr>
        <w:t>informatie bevatten over het nicotine-, teer- of koolmonoxidegehalte van het tabaksproduct;</w:t>
      </w:r>
    </w:p>
    <w:p w14:paraId="446BC351" w14:textId="5E0CCBB8" w:rsidR="00AA0AC6" w:rsidRDefault="00C9519F">
      <w:pPr>
        <w:pStyle w:val="BodyText"/>
        <w:numPr>
          <w:ilvl w:val="0"/>
          <w:numId w:val="2"/>
        </w:numPr>
        <w:tabs>
          <w:tab w:val="left" w:pos="735"/>
        </w:tabs>
        <w:ind w:left="740" w:hanging="360"/>
      </w:pPr>
      <w:r>
        <w:rPr>
          <w:rStyle w:val="BodyTextChar"/>
        </w:rPr>
        <w:t>suggereren dat een bepaald product minder schadelijk is dan ande</w:t>
      </w:r>
      <w:r>
        <w:rPr>
          <w:rStyle w:val="BodyTextChar"/>
        </w:rPr>
        <w:t>re, of dat het vitaliserende, energetische, genezende, verjongende, natuurlijke, biologische eigenschappen heeft of andere voordelen heeft voor de gezondheid of de levensstijl;</w:t>
      </w:r>
    </w:p>
    <w:p w14:paraId="7530D3E3" w14:textId="17AAAB98" w:rsidR="00AA0AC6" w:rsidRDefault="00C9519F">
      <w:pPr>
        <w:pStyle w:val="BodyText"/>
        <w:numPr>
          <w:ilvl w:val="0"/>
          <w:numId w:val="2"/>
        </w:numPr>
        <w:tabs>
          <w:tab w:val="left" w:pos="732"/>
        </w:tabs>
        <w:ind w:firstLine="380"/>
      </w:pPr>
      <w:r>
        <w:rPr>
          <w:rStyle w:val="BodyTextChar"/>
        </w:rPr>
        <w:t>verwijzen naar smaak, geur, aroma’s of andere additieven of het ontbreken da</w:t>
      </w:r>
      <w:r>
        <w:rPr>
          <w:rStyle w:val="BodyTextChar"/>
        </w:rPr>
        <w:t>arvan;</w:t>
      </w:r>
    </w:p>
    <w:p w14:paraId="6D3DA705" w14:textId="4D4C8311" w:rsidR="00AA0AC6" w:rsidRDefault="00C9519F">
      <w:pPr>
        <w:pStyle w:val="BodyText"/>
        <w:numPr>
          <w:ilvl w:val="0"/>
          <w:numId w:val="2"/>
        </w:numPr>
        <w:tabs>
          <w:tab w:val="left" w:pos="732"/>
        </w:tabs>
        <w:ind w:firstLine="380"/>
      </w:pPr>
      <w:r>
        <w:rPr>
          <w:rStyle w:val="BodyTextChar"/>
        </w:rPr>
        <w:t>lijken op een voedingsmiddel of een cosmetisch product;</w:t>
      </w:r>
    </w:p>
    <w:p w14:paraId="713D58E2" w14:textId="38BC3128" w:rsidR="00AA0AC6" w:rsidRDefault="00C9519F">
      <w:pPr>
        <w:pStyle w:val="BodyText"/>
        <w:numPr>
          <w:ilvl w:val="0"/>
          <w:numId w:val="2"/>
        </w:numPr>
        <w:tabs>
          <w:tab w:val="left" w:pos="732"/>
          <w:tab w:val="left" w:pos="735"/>
        </w:tabs>
        <w:spacing w:after="200"/>
        <w:ind w:firstLine="380"/>
      </w:pPr>
      <w:r>
        <w:rPr>
          <w:rStyle w:val="BodyTextChar"/>
        </w:rPr>
        <w:t>suggereren dat een bepaald tabaksproduct milieu- of financiële voordelen heeft.</w:t>
      </w:r>
    </w:p>
    <w:p w14:paraId="5987CFDC" w14:textId="77777777" w:rsidR="00AA0AC6" w:rsidRDefault="00C9519F">
      <w:pPr>
        <w:pStyle w:val="BodyText"/>
        <w:spacing w:after="200" w:line="240" w:lineRule="auto"/>
        <w:ind w:firstLine="500"/>
      </w:pPr>
      <w:r>
        <w:rPr>
          <w:rStyle w:val="BodyTextChar"/>
        </w:rPr>
        <w:t xml:space="preserve">De bepalingen van het eerste </w:t>
      </w:r>
      <w:r>
        <w:rPr>
          <w:rStyle w:val="BodyTextChar"/>
          <w:strike/>
        </w:rPr>
        <w:t>en tweede</w:t>
      </w:r>
      <w:r>
        <w:rPr>
          <w:rStyle w:val="BodyTextChar"/>
        </w:rPr>
        <w:t xml:space="preserve"> lid zijn niet van toepassing op elektronische wegwerpsigaretten zonder nicotine en navulverpakkingen zonder nicotine. Het verbod op informatie over het nicotinegehalte in het tweede lid, onder b </w:t>
      </w:r>
      <w:r>
        <w:rPr>
          <w:rStyle w:val="BodyTextChar"/>
          <w:strike/>
        </w:rPr>
        <w:t>en verwijzingen naar aroma’s onder d</w:t>
      </w:r>
      <w:r>
        <w:rPr>
          <w:rStyle w:val="BodyTextChar"/>
        </w:rPr>
        <w:t xml:space="preserve"> is niet van toepassing </w:t>
      </w:r>
      <w:r>
        <w:rPr>
          <w:rStyle w:val="BodyTextChar"/>
        </w:rPr>
        <w:t xml:space="preserve">op elektronische sigaretten en navulverpakkingen. Het tweede lid, </w:t>
      </w:r>
      <w:r>
        <w:rPr>
          <w:rStyle w:val="BodyTextChar"/>
        </w:rPr>
        <w:lastRenderedPageBreak/>
        <w:t>onder d en f, is niet van toepassing op kruidenproducten om te roken, maar het is niet toegestaan aan te geven dat het product vrij is van additieven of aroma’s.</w:t>
      </w:r>
    </w:p>
    <w:p w14:paraId="4A3E0B34" w14:textId="77777777" w:rsidR="00AA0AC6" w:rsidRDefault="00C9519F">
      <w:pPr>
        <w:pStyle w:val="BodyText"/>
        <w:spacing w:after="200" w:line="240" w:lineRule="auto"/>
        <w:ind w:firstLine="500"/>
      </w:pPr>
      <w:r>
        <w:rPr>
          <w:rStyle w:val="BodyTextChar"/>
        </w:rPr>
        <w:t>Het ministerie kan in voorsc</w:t>
      </w:r>
      <w:r>
        <w:rPr>
          <w:rStyle w:val="BodyTextChar"/>
        </w:rPr>
        <w:t>hriften nadere bepalingen vaststellen ter aanvulling en uitvoering van de vereisten in het eerste en tweede lid, en ontheffingen daarop verlenen.</w:t>
      </w:r>
    </w:p>
    <w:p w14:paraId="4940B364" w14:textId="77777777" w:rsidR="00AA0AC6" w:rsidRDefault="00C9519F" w:rsidP="001F37DB">
      <w:pPr>
        <w:pStyle w:val="BodyText"/>
        <w:keepNext/>
        <w:spacing w:after="140"/>
        <w:ind w:firstLine="0"/>
      </w:pPr>
      <w:r>
        <w:rPr>
          <w:rStyle w:val="BodyTextChar"/>
          <w:i/>
          <w:iCs/>
        </w:rPr>
        <w:t>Nieuwe § 32 a. Verbod op karakteristieke aroma’s in elektronische sigaretten enz.</w:t>
      </w:r>
    </w:p>
    <w:p w14:paraId="522ED393" w14:textId="77777777" w:rsidR="00AA0AC6" w:rsidRDefault="00C9519F">
      <w:pPr>
        <w:pStyle w:val="BodyText"/>
        <w:ind w:firstLine="580"/>
      </w:pPr>
      <w:r>
        <w:rPr>
          <w:rStyle w:val="BodyTextChar"/>
          <w:i/>
        </w:rPr>
        <w:t>Het is verboden in Noorwegen</w:t>
      </w:r>
      <w:r>
        <w:rPr>
          <w:rStyle w:val="BodyTextChar"/>
          <w:i/>
        </w:rPr>
        <w:t xml:space="preserve"> elektronische sigaretten en navulverpakkingen in te voeren of te verkopen, ongeacht het nicotinegehalte, met karakteristieke aroma’s. Hetzelfde geldt voor afzonderlijke houders van aroma-additieven voor gebruik in elektronische sigaretten.</w:t>
      </w:r>
    </w:p>
    <w:p w14:paraId="69779CD8" w14:textId="77777777" w:rsidR="00AA0AC6" w:rsidRDefault="00C9519F">
      <w:pPr>
        <w:pStyle w:val="BodyText"/>
        <w:ind w:firstLine="580"/>
      </w:pPr>
      <w:r>
        <w:rPr>
          <w:rStyle w:val="BodyTextChar"/>
          <w:i/>
        </w:rPr>
        <w:t>Het verbod in h</w:t>
      </w:r>
      <w:r>
        <w:rPr>
          <w:rStyle w:val="BodyTextChar"/>
          <w:i/>
        </w:rPr>
        <w:t>et eerste lid geldt op overeenkomstige wijze voor apparatuur en componenten die worden gebruikt in verband met elektronische sigaretten en waardoor de smaak of geur van de producten kan worden gewijzigd.</w:t>
      </w:r>
    </w:p>
    <w:p w14:paraId="2CC900A2" w14:textId="77777777" w:rsidR="00AA0AC6" w:rsidRDefault="00C9519F">
      <w:pPr>
        <w:pStyle w:val="BodyText"/>
        <w:spacing w:after="420"/>
        <w:ind w:firstLine="580"/>
      </w:pPr>
      <w:r>
        <w:rPr>
          <w:rStyle w:val="BodyTextChar"/>
          <w:i/>
        </w:rPr>
        <w:t>Het ministerie kan aanvullende voorschriften vastste</w:t>
      </w:r>
      <w:r>
        <w:rPr>
          <w:rStyle w:val="BodyTextChar"/>
          <w:i/>
        </w:rPr>
        <w:t>llen met betrekking tot de verbodsbepalingen in het eerste en tweede lid, vrijstellingen vaststellen en maximumgehalten aan additieven of combinaties van additieven vaststellen die een karakteristiek aroma geven, en vergoedingen vaststellen voor de behande</w:t>
      </w:r>
      <w:r>
        <w:rPr>
          <w:rStyle w:val="BodyTextChar"/>
          <w:i/>
        </w:rPr>
        <w:t>ling van en het toezicht op de verboden door de overheid. Het ministerie kan voorts in wetgeving een lijst vaststellen met aromabepalende additieven die mogen worden gebruikt als ingrediënten in elektronische sigaretten en navulverpakkingen.</w:t>
      </w:r>
    </w:p>
    <w:p w14:paraId="362A0B7D" w14:textId="77777777" w:rsidR="00AA0AC6" w:rsidRDefault="00C9519F">
      <w:pPr>
        <w:pStyle w:val="Heading30"/>
        <w:keepNext/>
        <w:keepLines/>
        <w:spacing w:after="140" w:line="259" w:lineRule="auto"/>
      </w:pPr>
      <w:bookmarkStart w:id="3" w:name="bookmark6"/>
      <w:r>
        <w:rPr>
          <w:rStyle w:val="Heading3"/>
          <w:b/>
        </w:rPr>
        <w:t>Ontwerp-wijzig</w:t>
      </w:r>
      <w:r>
        <w:rPr>
          <w:rStyle w:val="Heading3"/>
          <w:b/>
        </w:rPr>
        <w:t>ingen van verordening nr. 141 van 6 februari 2003 betreffende de inhoud, de etikettering en het ontwerp van tabaksproducten enz.</w:t>
      </w:r>
      <w:bookmarkEnd w:id="3"/>
    </w:p>
    <w:p w14:paraId="06077C93" w14:textId="2B6CC7A0" w:rsidR="00AA0AC6" w:rsidRDefault="001F37DB" w:rsidP="001F37DB">
      <w:pPr>
        <w:pStyle w:val="BodyText"/>
        <w:tabs>
          <w:tab w:val="left" w:pos="278"/>
        </w:tabs>
        <w:spacing w:after="140"/>
        <w:ind w:firstLine="0"/>
      </w:pPr>
      <w:r>
        <w:rPr>
          <w:rStyle w:val="BodyTextChar"/>
        </w:rPr>
        <w:t>§ 31. Minimumgrootte en -gewicht van tabaksproducten</w:t>
      </w:r>
    </w:p>
    <w:p w14:paraId="6842D5C9" w14:textId="77777777" w:rsidR="00AA0AC6" w:rsidRDefault="00C9519F">
      <w:pPr>
        <w:pStyle w:val="BodyText"/>
        <w:ind w:firstLine="580"/>
      </w:pPr>
      <w:r>
        <w:rPr>
          <w:rStyle w:val="BodyTextChar"/>
        </w:rPr>
        <w:t>Een eenheidsverpakking voor verkoop aan consumenten met</w:t>
      </w:r>
    </w:p>
    <w:p w14:paraId="67107DAC" w14:textId="77777777" w:rsidR="00AA0AC6" w:rsidRDefault="00C9519F">
      <w:pPr>
        <w:pStyle w:val="BodyText"/>
        <w:numPr>
          <w:ilvl w:val="0"/>
          <w:numId w:val="3"/>
        </w:numPr>
        <w:tabs>
          <w:tab w:val="left" w:pos="1286"/>
        </w:tabs>
        <w:spacing w:line="240" w:lineRule="auto"/>
        <w:ind w:firstLine="940"/>
      </w:pPr>
      <w:r>
        <w:rPr>
          <w:rStyle w:val="BodyTextChar"/>
        </w:rPr>
        <w:t>-</w:t>
      </w:r>
      <w:r>
        <w:rPr>
          <w:rStyle w:val="BodyTextChar"/>
        </w:rPr>
        <w:tab/>
        <w:t xml:space="preserve">sigaretten moet </w:t>
      </w:r>
      <w:r>
        <w:rPr>
          <w:rStyle w:val="BodyTextChar"/>
        </w:rPr>
        <w:t>ten minste 20 sigaretten bevatten</w:t>
      </w:r>
    </w:p>
    <w:p w14:paraId="7EB220C6" w14:textId="77777777" w:rsidR="00AA0AC6" w:rsidRDefault="00C9519F">
      <w:pPr>
        <w:pStyle w:val="BodyText"/>
        <w:numPr>
          <w:ilvl w:val="0"/>
          <w:numId w:val="3"/>
        </w:numPr>
        <w:tabs>
          <w:tab w:val="left" w:pos="1286"/>
          <w:tab w:val="left" w:pos="1300"/>
        </w:tabs>
        <w:spacing w:line="240" w:lineRule="auto"/>
        <w:ind w:firstLine="940"/>
      </w:pPr>
      <w:r>
        <w:rPr>
          <w:rStyle w:val="BodyTextChar"/>
        </w:rPr>
        <w:t>-</w:t>
      </w:r>
      <w:r>
        <w:rPr>
          <w:rStyle w:val="BodyTextChar"/>
        </w:rPr>
        <w:tab/>
        <w:t>shagtabak moet ten minste 30 gram bevatten</w:t>
      </w:r>
    </w:p>
    <w:p w14:paraId="12A03E59" w14:textId="77777777" w:rsidR="00AA0AC6" w:rsidRDefault="00C9519F">
      <w:pPr>
        <w:pStyle w:val="BodyText"/>
        <w:numPr>
          <w:ilvl w:val="0"/>
          <w:numId w:val="3"/>
        </w:numPr>
        <w:tabs>
          <w:tab w:val="left" w:pos="1286"/>
          <w:tab w:val="left" w:pos="1300"/>
        </w:tabs>
        <w:spacing w:line="240" w:lineRule="auto"/>
        <w:ind w:firstLine="940"/>
      </w:pPr>
      <w:r>
        <w:rPr>
          <w:rStyle w:val="BodyTextChar"/>
          <w:i/>
        </w:rPr>
        <w:t>-</w:t>
      </w:r>
      <w:r>
        <w:rPr>
          <w:rStyle w:val="BodyTextChar"/>
          <w:i/>
        </w:rPr>
        <w:tab/>
        <w:t>porties tabak voor oraal gebruik moet ten minste 20 porties en 15 gram bevatten</w:t>
      </w:r>
    </w:p>
    <w:p w14:paraId="28849DE5" w14:textId="77777777" w:rsidR="00AA0AC6" w:rsidRDefault="00C9519F">
      <w:pPr>
        <w:pStyle w:val="BodyText"/>
        <w:numPr>
          <w:ilvl w:val="0"/>
          <w:numId w:val="3"/>
        </w:numPr>
        <w:tabs>
          <w:tab w:val="left" w:pos="1286"/>
        </w:tabs>
        <w:spacing w:line="240" w:lineRule="auto"/>
        <w:ind w:firstLine="940"/>
      </w:pPr>
      <w:r>
        <w:rPr>
          <w:rStyle w:val="BodyTextChar"/>
          <w:i/>
        </w:rPr>
        <w:t>-</w:t>
      </w:r>
      <w:r>
        <w:rPr>
          <w:rStyle w:val="BodyTextChar"/>
          <w:i/>
        </w:rPr>
        <w:tab/>
        <w:t>losse tabak voor orale snus moet ten minste 30 gram bevatten.</w:t>
      </w:r>
    </w:p>
    <w:p w14:paraId="02AA3190" w14:textId="77777777" w:rsidR="00AA0AC6" w:rsidRDefault="00C9519F">
      <w:pPr>
        <w:pStyle w:val="BodyText"/>
        <w:ind w:firstLine="580"/>
      </w:pPr>
      <w:r>
        <w:rPr>
          <w:rStyle w:val="BodyTextChar"/>
        </w:rPr>
        <w:t>Deze eenheidsverpakkingen mogen</w:t>
      </w:r>
      <w:r>
        <w:rPr>
          <w:rStyle w:val="BodyTextChar"/>
        </w:rPr>
        <w:t xml:space="preserve"> geen kleinere verpakkingen bevatten en mogen niet in kleinere verpakkingen kunnen worden verdeeld.</w:t>
      </w:r>
    </w:p>
    <w:p w14:paraId="563C0CD8" w14:textId="77777777" w:rsidR="00AA0AC6" w:rsidRDefault="00C9519F">
      <w:pPr>
        <w:pStyle w:val="BodyText"/>
        <w:spacing w:after="80"/>
        <w:ind w:firstLine="580"/>
      </w:pPr>
      <w:r>
        <w:rPr>
          <w:rStyle w:val="BodyTextChar"/>
        </w:rPr>
        <w:t>Sigaren mogen per stuk worden verkocht met gezondheidswaarschuwingen op de verpakking.</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C9519F">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C9519F">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C9519F">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AA0AC6"/>
    <w:rsid w:val="00C9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nl-N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2023-02-06T09:16:00Z</dcterms:modified>
</cp:coreProperties>
</file>