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43EB" w14:textId="77777777" w:rsidR="00AA0AC6" w:rsidRDefault="00000000">
      <w:pPr>
        <w:pStyle w:val="Heading10"/>
        <w:keepNext/>
        <w:keepLines/>
      </w:pPr>
      <w:bookmarkStart w:id="0" w:name="bookmark0"/>
      <w:r>
        <w:rPr>
          <w:rStyle w:val="Heading1"/>
        </w:rPr>
        <w:t xml:space="preserve">Proiect de propuneri legislative</w:t>
      </w:r>
      <w:bookmarkEnd w:id="0"/>
    </w:p>
    <w:p w14:paraId="08A98031" w14:textId="77777777" w:rsidR="00AA0AC6" w:rsidRDefault="00000000">
      <w:pPr>
        <w:pStyle w:val="Heading20"/>
        <w:keepNext/>
        <w:keepLines/>
      </w:pPr>
      <w:bookmarkStart w:id="1" w:name="bookmark2"/>
      <w:r>
        <w:rPr>
          <w:rStyle w:val="Heading2"/>
        </w:rPr>
        <w:t xml:space="preserve">Completările și modificările sunt redactate cu caractere aldine.</w:t>
      </w:r>
      <w:bookmarkEnd w:id="1"/>
    </w:p>
    <w:p w14:paraId="69A787FA" w14:textId="77777777" w:rsidR="00AA0AC6" w:rsidRDefault="00000000">
      <w:pPr>
        <w:pStyle w:val="Heading30"/>
        <w:keepNext/>
        <w:keepLines/>
        <w:spacing w:after="200" w:line="264" w:lineRule="auto"/>
      </w:pPr>
      <w:bookmarkStart w:id="2" w:name="bookmark4"/>
      <w:r>
        <w:rPr>
          <w:rStyle w:val="Heading3"/>
          <w:b/>
        </w:rPr>
        <w:t xml:space="preserve">Proiect de modificare a Legii nr. 14 din 9 martie 1973 privind prevenirea efectelor nocive ale tutunului</w:t>
      </w:r>
      <w:bookmarkEnd w:id="2"/>
    </w:p>
    <w:p w14:paraId="5B187A27" w14:textId="7E3EBB20" w:rsidR="00AA0AC6" w:rsidRDefault="001F37DB" w:rsidP="001F37DB">
      <w:pPr>
        <w:pStyle w:val="BodyText"/>
        <w:tabs>
          <w:tab w:val="left" w:pos="243"/>
        </w:tabs>
        <w:spacing w:after="120"/>
        <w:ind w:firstLine="0"/>
      </w:pPr>
      <w:r>
        <w:rPr>
          <w:rStyle w:val="BodyTextChar"/>
        </w:rPr>
        <w:t xml:space="preserve">Articolul 30.</w:t>
      </w:r>
      <w:r>
        <w:rPr>
          <w:rStyle w:val="BodyTextChar"/>
        </w:rPr>
        <w:t xml:space="preserve"> </w:t>
      </w:r>
      <w:r>
        <w:rPr>
          <w:rStyle w:val="BodyTextChar"/>
        </w:rPr>
        <w:t xml:space="preserve">Design și etichetare standardizate ale ambalajelor și produselor</w:t>
      </w:r>
    </w:p>
    <w:p w14:paraId="55131F6E" w14:textId="77777777" w:rsidR="00AA0AC6" w:rsidRDefault="00000000">
      <w:pPr>
        <w:pStyle w:val="BodyText"/>
        <w:ind w:firstLine="580"/>
      </w:pPr>
      <w:r>
        <w:rPr>
          <w:rStyle w:val="BodyTextChar"/>
        </w:rPr>
        <w:t xml:space="preserve">Se interzice importul în Norvegia sau vânzarea ambalajelor pentru tutun și a produselor din tutun care nu au un design standardizat, în conformitate cu dispozițiile detaliate stabilite de minister în reglementări.</w:t>
      </w:r>
      <w:r>
        <w:rPr>
          <w:rStyle w:val="BodyTextChar"/>
        </w:rPr>
        <w:t xml:space="preserve"> </w:t>
      </w:r>
      <w:r>
        <w:rPr>
          <w:rStyle w:val="BodyTextChar"/>
          <w:i/>
        </w:rPr>
        <w:t xml:space="preserve">Același lucru este valabil și pentru țigaretele electronice și flacoanele de reumplere, indiferent de conținutul de nicotină.</w:t>
      </w:r>
      <w:r>
        <w:rPr>
          <w:rStyle w:val="BodyTextChar"/>
        </w:rPr>
        <w:t xml:space="preserve"> </w:t>
      </w:r>
      <w:r>
        <w:rPr>
          <w:rStyle w:val="BodyTextChar"/>
        </w:rPr>
        <w:t xml:space="preserve">Standardizarea se poate aplica, printre altele, culorii, formei, aspectului, materialului și etichetării, inclusiv utilizarea denumirilor de marcă, a logourilor și a altor elemente legate de aplicarea numelui de marcă</w:t>
      </w:r>
    </w:p>
    <w:p w14:paraId="59A9A310" w14:textId="77777777" w:rsidR="00AA0AC6" w:rsidRDefault="00000000">
      <w:pPr>
        <w:pStyle w:val="BodyText"/>
        <w:spacing w:after="540"/>
        <w:ind w:firstLine="580"/>
      </w:pPr>
      <w:r>
        <w:rPr>
          <w:rStyle w:val="BodyTextChar"/>
        </w:rPr>
        <w:t xml:space="preserve">Ministerul poate emite reglementări cu privire la standardizarea similară a etichetării și a designului ambalajelor pentru accesoriile pentru fumat și înlocuitorii de tutun și poate face derogări pentru anumite categorii de produse.</w:t>
      </w:r>
      <w:r>
        <w:rPr>
          <w:rStyle w:val="BodyTextChar"/>
        </w:rPr>
        <w:t xml:space="preserve"> </w:t>
      </w:r>
      <w:r>
        <w:rPr>
          <w:rStyle w:val="BodyTextChar"/>
        </w:rPr>
        <w:t xml:space="preserve">Prin reglementări, ministerul poate limita tipul de puncte de vânzare cu amănuntul autorizate să vândă produse care sunt exceptate de la cerința de standardizare.</w:t>
      </w:r>
    </w:p>
    <w:p w14:paraId="5BE1906D" w14:textId="060A2BBD" w:rsidR="00AA0AC6" w:rsidRDefault="001F37DB" w:rsidP="001F37DB">
      <w:pPr>
        <w:pStyle w:val="BodyText"/>
        <w:tabs>
          <w:tab w:val="left" w:pos="243"/>
        </w:tabs>
        <w:spacing w:after="200"/>
        <w:ind w:firstLine="0"/>
      </w:pPr>
      <w:r>
        <w:rPr>
          <w:rStyle w:val="BodyTextChar"/>
        </w:rPr>
        <w:t xml:space="preserve">Articolul 30a.</w:t>
      </w:r>
      <w:r>
        <w:rPr>
          <w:rStyle w:val="BodyTextChar"/>
        </w:rPr>
        <w:t xml:space="preserve"> </w:t>
      </w:r>
      <w:r>
        <w:rPr>
          <w:rStyle w:val="BodyTextChar"/>
        </w:rPr>
        <w:t xml:space="preserve">Avertisment de sănătate și prezentarea produsului</w:t>
      </w:r>
    </w:p>
    <w:p w14:paraId="776E89D9" w14:textId="652A9ACA" w:rsidR="00AA0AC6" w:rsidRDefault="00000000">
      <w:pPr>
        <w:pStyle w:val="BodyText"/>
        <w:spacing w:after="200" w:line="240" w:lineRule="auto"/>
        <w:ind w:firstLine="500"/>
      </w:pPr>
      <w:r>
        <w:rPr>
          <w:rStyle w:val="BodyTextChar"/>
        </w:rPr>
        <w:t xml:space="preserve">Este interzis importul în Norvegia sau vânzarea produselor din tutun, a țigaretelor electronice și a flacoanelor de reumplere, precum și a produselor din plante pentru fumat, care nu sunt etichetate cu avertismente de sănătate.</w:t>
      </w:r>
    </w:p>
    <w:p w14:paraId="66AB4B62" w14:textId="77777777" w:rsidR="00AA0AC6" w:rsidRDefault="00000000">
      <w:pPr>
        <w:pStyle w:val="BodyText"/>
        <w:spacing w:line="240" w:lineRule="auto"/>
        <w:ind w:firstLine="500"/>
      </w:pPr>
      <w:r>
        <w:rPr>
          <w:rStyle w:val="BodyTextChar"/>
        </w:rPr>
        <w:t xml:space="preserve">[Este interzis importul în Norvegia sau vânzarea produselor din tutun, a produselor din plante pentru fumat, a țigaretelor electronice și a flacoanelor de reumplere etichetate cu orice element sau caracteristică, inclusiv texte, denumiri, mărci comerciale, simboluri, semne figurative sau de altă natură, care:</w:t>
      </w:r>
    </w:p>
    <w:p w14:paraId="5477CAB0" w14:textId="77777777" w:rsidR="00AA0AC6" w:rsidRDefault="00000000">
      <w:pPr>
        <w:pStyle w:val="BodyText"/>
        <w:numPr>
          <w:ilvl w:val="0"/>
          <w:numId w:val="2"/>
        </w:numPr>
        <w:tabs>
          <w:tab w:val="left" w:pos="735"/>
        </w:tabs>
        <w:ind w:left="740" w:hanging="360"/>
      </w:pPr>
      <w:r>
        <w:rPr>
          <w:rStyle w:val="BodyTextChar"/>
        </w:rPr>
        <w:t xml:space="preserve">promovează un produs din tutun sau încurajează consumul acestuia prin crearea unei impresii eronate cu privire la caracteristicile sale, efectele asupra sănătății, riscurile sau emisiile acestuia;</w:t>
      </w:r>
    </w:p>
    <w:p w14:paraId="12A7A4D9" w14:textId="77777777" w:rsidR="00AA0AC6" w:rsidRDefault="00000000">
      <w:pPr>
        <w:pStyle w:val="BodyText"/>
        <w:numPr>
          <w:ilvl w:val="0"/>
          <w:numId w:val="2"/>
        </w:numPr>
        <w:tabs>
          <w:tab w:val="left" w:pos="735"/>
        </w:tabs>
        <w:ind w:left="740" w:hanging="360"/>
      </w:pPr>
      <w:r>
        <w:rPr>
          <w:rStyle w:val="BodyTextChar"/>
        </w:rPr>
        <w:t xml:space="preserve">include eventuale informații privind conținutul de nicotină, gudron sau monoxid de carbon al produsului din tutun;</w:t>
      </w:r>
    </w:p>
    <w:p w14:paraId="446BC351" w14:textId="77777777" w:rsidR="00AA0AC6" w:rsidRDefault="00000000">
      <w:pPr>
        <w:pStyle w:val="BodyText"/>
        <w:numPr>
          <w:ilvl w:val="0"/>
          <w:numId w:val="2"/>
        </w:numPr>
        <w:tabs>
          <w:tab w:val="left" w:pos="735"/>
        </w:tabs>
        <w:ind w:left="740" w:hanging="360"/>
      </w:pPr>
      <w:r>
        <w:rPr>
          <w:rStyle w:val="BodyTextChar"/>
        </w:rPr>
        <w:t xml:space="preserve">sugerează că un anumit produs este mai puțin dăunător decât altele sau are proprietăți vitalizante, energizante, curative, de reîntinerire, naturale, organice sau are alte beneficii pentru sănătate sau stilul de viață;</w:t>
      </w:r>
    </w:p>
    <w:p w14:paraId="7530D3E3" w14:textId="77777777" w:rsidR="00AA0AC6" w:rsidRDefault="00000000">
      <w:pPr>
        <w:pStyle w:val="BodyText"/>
        <w:numPr>
          <w:ilvl w:val="0"/>
          <w:numId w:val="2"/>
        </w:numPr>
        <w:tabs>
          <w:tab w:val="left" w:pos="732"/>
        </w:tabs>
        <w:ind w:firstLine="380"/>
      </w:pPr>
      <w:r>
        <w:rPr>
          <w:rStyle w:val="BodyTextChar"/>
        </w:rPr>
        <w:t xml:space="preserve">se referă la gust, miros, orice aromă sau alți aditivi sau la absența acestora;</w:t>
      </w:r>
    </w:p>
    <w:p w14:paraId="6D3DA705" w14:textId="77777777" w:rsidR="00AA0AC6" w:rsidRDefault="00000000">
      <w:pPr>
        <w:pStyle w:val="BodyText"/>
        <w:numPr>
          <w:ilvl w:val="0"/>
          <w:numId w:val="2"/>
        </w:numPr>
        <w:tabs>
          <w:tab w:val="left" w:pos="732"/>
        </w:tabs>
        <w:ind w:firstLine="380"/>
      </w:pPr>
      <w:r>
        <w:rPr>
          <w:rStyle w:val="BodyTextChar"/>
        </w:rPr>
        <w:t xml:space="preserve">seamănă cu un produs alimentar sau cosmetic;</w:t>
      </w:r>
    </w:p>
    <w:p w14:paraId="713D58E2" w14:textId="77777777" w:rsidR="00AA0AC6" w:rsidRDefault="00000000">
      <w:pPr>
        <w:pStyle w:val="BodyText"/>
        <w:numPr>
          <w:ilvl w:val="0"/>
          <w:numId w:val="2"/>
        </w:numPr>
        <w:tabs>
          <w:tab w:val="left" w:pos="732"/>
          <w:tab w:val="left" w:pos="735"/>
        </w:tabs>
        <w:spacing w:after="200"/>
        <w:ind w:firstLine="380"/>
      </w:pPr>
      <w:r>
        <w:rPr>
          <w:rStyle w:val="BodyTextChar"/>
        </w:rPr>
        <w:t xml:space="preserve">sugerează că un anumit produs din tutun prezintă avantaje de mediu sau financiare.</w:t>
      </w:r>
    </w:p>
    <w:p w14:paraId="5987CFDC" w14:textId="77777777" w:rsidR="00AA0AC6" w:rsidRDefault="00000000">
      <w:pPr>
        <w:pStyle w:val="BodyText"/>
        <w:spacing w:after="200" w:line="240" w:lineRule="auto"/>
        <w:ind w:firstLine="500"/>
      </w:pPr>
      <w:r>
        <w:rPr>
          <w:rStyle w:val="BodyTextChar"/>
        </w:rPr>
        <w:t xml:space="preserve">Prevederile primului paragraf </w:t>
      </w:r>
      <w:r>
        <w:rPr>
          <w:rStyle w:val="BodyTextChar"/>
          <w:strike/>
        </w:rPr>
        <w:t xml:space="preserve">și ale celui de al d</w:t>
      </w:r>
      <w:r>
        <w:rPr>
          <w:rStyle w:val="BodyTextChar"/>
        </w:rPr>
        <w:t xml:space="preserve">o</w:t>
      </w:r>
      <w:r>
        <w:rPr>
          <w:rStyle w:val="BodyTextChar"/>
          <w:strike/>
        </w:rPr>
        <w:t xml:space="preserve">ilea</w:t>
      </w:r>
      <w:r>
        <w:rPr>
          <w:rStyle w:val="BodyTextChar"/>
        </w:rPr>
        <w:t xml:space="preserve"> nu se aplică țigaretelor electronice de unică folosință fără nicotină și flacoanelor de reumplere fără nicotină.</w:t>
      </w:r>
      <w:r>
        <w:rPr>
          <w:rStyle w:val="BodyTextChar"/>
        </w:rPr>
        <w:t xml:space="preserve"> </w:t>
      </w:r>
      <w:r>
        <w:rPr>
          <w:rStyle w:val="BodyTextChar"/>
        </w:rPr>
        <w:t xml:space="preserve">Interdicția privind informațiile referitoare la conținutul de nicotină din al doilea paragraf litera (b) </w:t>
      </w:r>
      <w:r>
        <w:rPr>
          <w:rStyle w:val="BodyTextChar"/>
          <w:strike/>
        </w:rPr>
        <w:t xml:space="preserve">și t</w:t>
      </w:r>
      <w:r>
        <w:rPr>
          <w:rStyle w:val="BodyTextChar"/>
        </w:rPr>
        <w:t xml:space="preserve">r</w:t>
      </w:r>
      <w:r>
        <w:rPr>
          <w:rStyle w:val="BodyTextChar"/>
          <w:strike/>
        </w:rPr>
        <w:t xml:space="preserve">i</w:t>
      </w:r>
      <w:r>
        <w:rPr>
          <w:rStyle w:val="BodyTextChar"/>
        </w:rPr>
        <w:t xml:space="preserve">m</w:t>
      </w:r>
      <w:r>
        <w:rPr>
          <w:rStyle w:val="BodyTextChar"/>
          <w:strike/>
        </w:rPr>
        <w:t xml:space="preserve">i</w:t>
      </w:r>
      <w:r>
        <w:rPr>
          <w:rStyle w:val="BodyTextChar"/>
        </w:rPr>
        <w:t xml:space="preserve">t</w:t>
      </w:r>
      <w:r>
        <w:rPr>
          <w:rStyle w:val="BodyTextChar"/>
          <w:strike/>
        </w:rPr>
        <w:t xml:space="preserve">re</w:t>
      </w:r>
      <w:r>
        <w:rPr>
          <w:rStyle w:val="BodyTextChar"/>
        </w:rPr>
        <w:t xml:space="preserve">a </w:t>
      </w:r>
      <w:r>
        <w:rPr>
          <w:rStyle w:val="BodyTextChar"/>
          <w:strike/>
        </w:rPr>
        <w:t xml:space="preserve">la aromele de la litera (d)</w:t>
      </w:r>
      <w:r>
        <w:rPr>
          <w:rStyle w:val="BodyTextChar"/>
          <w:i/>
        </w:rPr>
        <w:t xml:space="preserve"> </w:t>
      </w:r>
      <w:r>
        <w:rPr>
          <w:rStyle w:val="BodyTextChar"/>
        </w:rPr>
        <w:t xml:space="preserve"> nu se aplică țigaretelor electronice și flacoanelor de reumplere.</w:t>
      </w:r>
      <w:r>
        <w:rPr>
          <w:rStyle w:val="BodyTextChar"/>
        </w:rPr>
        <w:t xml:space="preserve"> </w:t>
      </w:r>
      <w:r>
        <w:rPr>
          <w:rStyle w:val="BodyTextChar"/>
        </w:rPr>
        <w:t xml:space="preserve">Al doilea paragraf litera (d) și litera (f) nu se aplică produselor din plante pentru fumat, dar este totuși permis să se precizeze că produsul nu conține aditivi sau arome.</w:t>
      </w:r>
    </w:p>
    <w:p w14:paraId="4A3E0B34" w14:textId="77777777" w:rsidR="00AA0AC6" w:rsidRDefault="00000000">
      <w:pPr>
        <w:pStyle w:val="BodyText"/>
        <w:spacing w:after="200" w:line="240" w:lineRule="auto"/>
        <w:ind w:firstLine="500"/>
      </w:pPr>
      <w:r>
        <w:rPr>
          <w:rStyle w:val="BodyTextChar"/>
        </w:rPr>
        <w:t xml:space="preserve">Ministerul poate, prin reglementări, să stabilească dispoziții suplimentare pentru punerea în aplicare a cerințelor de la primul și al doilea paragraf și să facă derogări de la acestea.</w:t>
      </w:r>
    </w:p>
    <w:p w14:paraId="4940B364" w14:textId="77777777" w:rsidR="00AA0AC6" w:rsidRDefault="00000000" w:rsidP="001F37DB">
      <w:pPr>
        <w:pStyle w:val="BodyText"/>
        <w:keepNext/>
        <w:spacing w:after="140"/>
        <w:ind w:firstLine="0"/>
      </w:pPr>
      <w:r>
        <w:rPr>
          <w:rStyle w:val="BodyTextChar"/>
        </w:rPr>
        <w:t xml:space="preserve">Articolul 32a nou. Interzicerea aromelor caracteristice în țigaretele electronice etc.</w:t>
      </w:r>
    </w:p>
    <w:p w14:paraId="522ED393" w14:textId="77777777" w:rsidR="00AA0AC6" w:rsidRDefault="00000000">
      <w:pPr>
        <w:pStyle w:val="BodyText"/>
        <w:ind w:firstLine="580"/>
      </w:pPr>
      <w:r>
        <w:rPr>
          <w:rStyle w:val="BodyTextChar"/>
          <w:i/>
        </w:rPr>
        <w:t xml:space="preserve">Este interzis importul în Norvegia sau vânzarea țigaretelor electronice și a flacoanelor de reumplere, indiferent de conținutul de nicotină, cu arome caracteristice.</w:t>
      </w:r>
      <w:r>
        <w:rPr>
          <w:rStyle w:val="BodyTextChar"/>
          <w:i/>
        </w:rPr>
        <w:t xml:space="preserve"> </w:t>
      </w:r>
      <w:r>
        <w:rPr>
          <w:rStyle w:val="BodyTextChar"/>
          <w:i/>
        </w:rPr>
        <w:t xml:space="preserve">Același lucru este valabil și pentru flacoanele separate de aditivi aromatizanți destinați utilizării în țigaretele electronice.</w:t>
      </w:r>
    </w:p>
    <w:p w14:paraId="69779CD8" w14:textId="77777777" w:rsidR="00AA0AC6" w:rsidRDefault="00000000">
      <w:pPr>
        <w:pStyle w:val="BodyText"/>
        <w:ind w:firstLine="580"/>
      </w:pPr>
      <w:r>
        <w:rPr>
          <w:rStyle w:val="BodyTextChar"/>
          <w:i/>
        </w:rPr>
        <w:t xml:space="preserve">Interdicția prevăzută la primul paragraf se aplică de asemenea echipamentelor și componentelor utilizate în legătură cu țigaretele electronice, care permit modificarea gustului sau a mirosului produselor.</w:t>
      </w:r>
    </w:p>
    <w:p w14:paraId="2CC900A2" w14:textId="77777777" w:rsidR="00AA0AC6" w:rsidRDefault="00000000">
      <w:pPr>
        <w:pStyle w:val="BodyText"/>
        <w:spacing w:after="420"/>
        <w:ind w:firstLine="580"/>
      </w:pPr>
      <w:r>
        <w:rPr>
          <w:rStyle w:val="BodyTextChar"/>
          <w:i/>
        </w:rPr>
        <w:t xml:space="preserve">Ministerul poate adopta reglementări suplimentare privind interdicțiile prevăzute la primul și al doilea paragraf, poate acorda derogări, poate stabili niveluri maxime de aditivi sau combinații de aditivi care dau o aromă caracteristică și poate stabili taxe pentru a acoperi gestionarea și supravegherea de către guvern a interdicțiilor.</w:t>
      </w:r>
      <w:r>
        <w:rPr>
          <w:rStyle w:val="BodyTextChar"/>
          <w:i/>
        </w:rPr>
        <w:t xml:space="preserve"> </w:t>
      </w:r>
      <w:r>
        <w:rPr>
          <w:rStyle w:val="BodyTextChar"/>
          <w:i/>
        </w:rPr>
        <w:t xml:space="preserve">De asemenea, ministerul poate adopta, în reglementări, o listă a aditivilor care determină aroma care pot fi utilizați ca ingrediente în țigaretele electronice și în flacoanele de reumplere.</w:t>
      </w:r>
    </w:p>
    <w:p w14:paraId="362A0B7D" w14:textId="77777777" w:rsidR="00AA0AC6" w:rsidRDefault="00000000">
      <w:pPr>
        <w:pStyle w:val="Heading30"/>
        <w:keepNext/>
        <w:keepLines/>
        <w:spacing w:after="140" w:line="259" w:lineRule="auto"/>
      </w:pPr>
      <w:bookmarkStart w:id="3" w:name="bookmark6"/>
      <w:r>
        <w:rPr>
          <w:rStyle w:val="Heading3"/>
          <w:b/>
        </w:rPr>
        <w:t xml:space="preserve">Proiect de modificare a Reglementărilor nr. 141 din 6 februarie 2003 privind conținutul, etichetarea și designul produselor din tutun etc.</w:t>
      </w:r>
      <w:bookmarkEnd w:id="3"/>
    </w:p>
    <w:p w14:paraId="06077C93" w14:textId="2B6CC7A0" w:rsidR="00AA0AC6" w:rsidRDefault="001F37DB" w:rsidP="001F37DB">
      <w:pPr>
        <w:pStyle w:val="BodyText"/>
        <w:tabs>
          <w:tab w:val="left" w:pos="278"/>
        </w:tabs>
        <w:spacing w:after="140"/>
        <w:ind w:firstLine="0"/>
      </w:pPr>
      <w:r>
        <w:rPr>
          <w:rStyle w:val="BodyTextChar"/>
        </w:rPr>
        <w:t xml:space="preserve">Articolul 31.</w:t>
      </w:r>
      <w:r>
        <w:rPr>
          <w:rStyle w:val="BodyTextChar"/>
        </w:rPr>
        <w:t xml:space="preserve"> </w:t>
      </w:r>
      <w:r>
        <w:rPr>
          <w:rStyle w:val="BodyTextChar"/>
        </w:rPr>
        <w:t xml:space="preserve">Dimensiunea și greutatea minimă pentru produsele din tutun</w:t>
      </w:r>
    </w:p>
    <w:p w14:paraId="6842D5C9" w14:textId="77777777" w:rsidR="00AA0AC6" w:rsidRDefault="00000000">
      <w:pPr>
        <w:pStyle w:val="BodyText"/>
        <w:ind w:firstLine="580"/>
      </w:pPr>
      <w:r>
        <w:rPr>
          <w:rStyle w:val="BodyTextChar"/>
        </w:rPr>
        <w:t xml:space="preserve">Un pachet unitar destinat vânzării către consumatori care conține</w:t>
      </w:r>
    </w:p>
    <w:p w14:paraId="67107DAC" w14:textId="77777777" w:rsidR="00AA0AC6" w:rsidRDefault="00000000">
      <w:pPr>
        <w:pStyle w:val="BodyText"/>
        <w:numPr>
          <w:ilvl w:val="0"/>
          <w:numId w:val="3"/>
        </w:numPr>
        <w:tabs>
          <w:tab w:val="left" w:pos="1286"/>
        </w:tabs>
        <w:spacing w:line="240" w:lineRule="auto"/>
        <w:ind w:firstLine="940"/>
      </w:pPr>
      <w:r>
        <w:rPr>
          <w:rStyle w:val="BodyTextChar"/>
        </w:rPr>
        <w:t xml:space="preserve">țigarete, trebuie să includă un număr de cel puțin 20 de țigarete;</w:t>
      </w:r>
    </w:p>
    <w:p w14:paraId="7EB220C6" w14:textId="77777777" w:rsidR="00AA0AC6" w:rsidRDefault="00000000">
      <w:pPr>
        <w:pStyle w:val="BodyText"/>
        <w:numPr>
          <w:ilvl w:val="0"/>
          <w:numId w:val="3"/>
        </w:numPr>
        <w:tabs>
          <w:tab w:val="left" w:pos="1286"/>
          <w:tab w:val="left" w:pos="1300"/>
        </w:tabs>
        <w:spacing w:line="240" w:lineRule="auto"/>
        <w:ind w:firstLine="940"/>
      </w:pPr>
      <w:r>
        <w:rPr>
          <w:rStyle w:val="BodyTextChar"/>
        </w:rPr>
        <w:t xml:space="preserve">tutun de rulat, trebuie să conțină cel puțin 30 de grame;</w:t>
      </w:r>
    </w:p>
    <w:p w14:paraId="12A03E59" w14:textId="77777777" w:rsidR="00AA0AC6" w:rsidRDefault="00000000">
      <w:pPr>
        <w:pStyle w:val="BodyText"/>
        <w:numPr>
          <w:ilvl w:val="0"/>
          <w:numId w:val="3"/>
        </w:numPr>
        <w:tabs>
          <w:tab w:val="left" w:pos="1286"/>
          <w:tab w:val="left" w:pos="1300"/>
        </w:tabs>
        <w:spacing w:line="240" w:lineRule="auto"/>
        <w:ind w:firstLine="940"/>
      </w:pPr>
      <w:r>
        <w:rPr>
          <w:rStyle w:val="BodyTextChar"/>
          <w:i/>
        </w:rPr>
        <w:t xml:space="preserve">porții de tutun pentru uz oral, trebuie sa conțină cel puțin 20 de porții și 15 grame;</w:t>
      </w:r>
    </w:p>
    <w:p w14:paraId="28849DE5" w14:textId="77777777" w:rsidR="00AA0AC6" w:rsidRDefault="00000000">
      <w:pPr>
        <w:pStyle w:val="BodyText"/>
        <w:numPr>
          <w:ilvl w:val="0"/>
          <w:numId w:val="3"/>
        </w:numPr>
        <w:tabs>
          <w:tab w:val="left" w:pos="1286"/>
        </w:tabs>
        <w:spacing w:line="240" w:lineRule="auto"/>
        <w:ind w:firstLine="940"/>
      </w:pPr>
      <w:r>
        <w:rPr>
          <w:rStyle w:val="BodyTextChar"/>
          <w:i/>
        </w:rPr>
        <w:t xml:space="preserve">tutun liber pentru uz oral (snus), trebuie să conțină cel puțin 30 de grame.</w:t>
      </w:r>
    </w:p>
    <w:p w14:paraId="02AA3190" w14:textId="77777777" w:rsidR="00AA0AC6" w:rsidRDefault="00000000">
      <w:pPr>
        <w:pStyle w:val="BodyText"/>
        <w:ind w:firstLine="580"/>
      </w:pPr>
      <w:r>
        <w:rPr>
          <w:rStyle w:val="BodyTextChar"/>
        </w:rPr>
        <w:t xml:space="preserve">Aceste pachete unitare nu trebuie să conțină pachete mai mici și nu trebuie să poată fi împărțite în pachete mai mici.</w:t>
      </w:r>
    </w:p>
    <w:p w14:paraId="563C0CD8" w14:textId="77777777" w:rsidR="00AA0AC6" w:rsidRDefault="00000000">
      <w:pPr>
        <w:pStyle w:val="BodyText"/>
        <w:spacing w:after="80"/>
        <w:ind w:firstLine="580"/>
      </w:pPr>
      <w:r>
        <w:rPr>
          <w:rStyle w:val="BodyTextChar"/>
        </w:rPr>
        <w:t xml:space="preserve">Trabucurile pot fi vândute individual cu avertismente de sănătate pe ambalaj.</w:t>
      </w:r>
    </w:p>
    <w:sectPr w:rsidR="00AA0AC6">
      <w:footerReference w:type="default" r:id="rId7"/>
      <w:pgSz w:w="11900" w:h="16840"/>
      <w:pgMar w:top="1599" w:right="1432" w:bottom="1855" w:left="1396" w:header="117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4F89" w14:textId="77777777" w:rsidR="002E616B" w:rsidRDefault="002E616B">
      <w:r>
        <w:separator/>
      </w:r>
    </w:p>
  </w:endnote>
  <w:endnote w:type="continuationSeparator" w:id="0">
    <w:p w14:paraId="43C0479E" w14:textId="77777777" w:rsidR="002E616B" w:rsidRDefault="002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2050" w14:textId="77777777" w:rsidR="00AA0AC6" w:rsidRDefault="00000000">
    <w:pPr>
      <w:spacing w:line="1" w:lineRule="exact"/>
    </w:pPr>
    <w:r>
      <mc:AlternateContent>
        <mc:Choice Requires="wps">
          <w:drawing>
            <wp:anchor distT="0" distB="0" distL="0" distR="0" simplePos="0" relativeHeight="62914690" behindDoc="1" locked="0" layoutInCell="1" allowOverlap="1" wp14:anchorId="488FE458" wp14:editId="5337D9B0">
              <wp:simplePos x="0" y="0"/>
              <wp:positionH relativeFrom="page">
                <wp:posOffset>3745865</wp:posOffset>
              </wp:positionH>
              <wp:positionV relativeFrom="page">
                <wp:posOffset>10006965</wp:posOffset>
              </wp:positionV>
              <wp:extent cx="368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14:paraId="20A706FC" w14:textId="77777777" w:rsidR="00AA0AC6" w:rsidRDefault="00000000">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4.94999999999999pt;margin-top:787.95000000000005pt;width:2.8999999999999999pt;height:7.9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99E2" w14:textId="77777777" w:rsidR="002E616B" w:rsidRDefault="002E616B"/>
  </w:footnote>
  <w:footnote w:type="continuationSeparator" w:id="0">
    <w:p w14:paraId="7675EB7F" w14:textId="77777777" w:rsidR="002E616B" w:rsidRDefault="002E6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B29"/>
    <w:multiLevelType w:val="multilevel"/>
    <w:tmpl w:val="8A4602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7D21F6"/>
    <w:multiLevelType w:val="multilevel"/>
    <w:tmpl w:val="3BBAA5D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CD7421"/>
    <w:multiLevelType w:val="multilevel"/>
    <w:tmpl w:val="BD6C5884"/>
    <w:lvl w:ilvl="0">
      <w:start w:val="4"/>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5376501">
    <w:abstractNumId w:val="2"/>
  </w:num>
  <w:num w:numId="2" w16cid:durableId="1832718140">
    <w:abstractNumId w:val="1"/>
  </w:num>
  <w:num w:numId="3" w16cid:durableId="122290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C6"/>
    <w:rsid w:val="001F37DB"/>
    <w:rsid w:val="002E616B"/>
    <w:rsid w:val="00AA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F1CA"/>
  <w15:docId w15:val="{D0ABA9B6-12DE-4D0E-9488-FFC0253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o-RO"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Cambria" w:eastAsia="Cambria" w:hAnsi="Cambria" w:cs="Cambria"/>
      <w:b w:val="0"/>
      <w:bCs w:val="0"/>
      <w:i w:val="0"/>
      <w:iCs w:val="0"/>
      <w:smallCaps w:val="0"/>
      <w:strike w:val="0"/>
      <w:color w:val="2E74B5"/>
      <w:sz w:val="32"/>
      <w:szCs w:val="32"/>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22"/>
      <w:szCs w:val="22"/>
      <w:u w:val="none"/>
    </w:rPr>
  </w:style>
  <w:style w:type="character" w:customStyle="1" w:styleId="Heading3">
    <w:name w:val="Heading #3_"/>
    <w:basedOn w:val="DefaultParagraphFont"/>
    <w:link w:val="Heading30"/>
    <w:rPr>
      <w:rFonts w:ascii="Cambria" w:eastAsia="Cambria" w:hAnsi="Cambria" w:cs="Cambria"/>
      <w:b/>
      <w:bCs/>
      <w:i w:val="0"/>
      <w:iCs w:val="0"/>
      <w:smallCaps w:val="0"/>
      <w:strike w:val="0"/>
      <w:sz w:val="22"/>
      <w:szCs w:val="22"/>
      <w:u w:val="none"/>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rPr>
  </w:style>
  <w:style w:type="paragraph" w:customStyle="1" w:styleId="Heading10">
    <w:name w:val="Heading #1"/>
    <w:basedOn w:val="Normal"/>
    <w:link w:val="Heading1"/>
    <w:pPr>
      <w:spacing w:after="260"/>
      <w:outlineLvl w:val="0"/>
    </w:pPr>
    <w:rPr>
      <w:rFonts w:ascii="Cambria" w:eastAsia="Cambria" w:hAnsi="Cambria" w:cs="Cambria"/>
      <w:color w:val="2E74B5"/>
      <w:sz w:val="32"/>
      <w:szCs w:val="32"/>
    </w:rPr>
  </w:style>
  <w:style w:type="paragraph" w:customStyle="1" w:styleId="Headerorfooter0">
    <w:name w:val="Header or footer"/>
    <w:basedOn w:val="Normal"/>
    <w:link w:val="Headerorfooter"/>
    <w:rPr>
      <w:rFonts w:ascii="Arial" w:eastAsia="Arial" w:hAnsi="Arial" w:cs="Arial"/>
      <w:sz w:val="22"/>
      <w:szCs w:val="22"/>
    </w:rPr>
  </w:style>
  <w:style w:type="paragraph" w:customStyle="1" w:styleId="Heading20">
    <w:name w:val="Heading #2"/>
    <w:basedOn w:val="Normal"/>
    <w:link w:val="Heading2"/>
    <w:pPr>
      <w:spacing w:after="440"/>
      <w:outlineLvl w:val="1"/>
    </w:pPr>
    <w:rPr>
      <w:rFonts w:ascii="Arial" w:eastAsia="Arial" w:hAnsi="Arial" w:cs="Arial"/>
      <w:sz w:val="22"/>
      <w:szCs w:val="22"/>
    </w:rPr>
  </w:style>
  <w:style w:type="paragraph" w:customStyle="1" w:styleId="Heading30">
    <w:name w:val="Heading #3"/>
    <w:basedOn w:val="Normal"/>
    <w:link w:val="Heading3"/>
    <w:pPr>
      <w:spacing w:after="170" w:line="262" w:lineRule="auto"/>
      <w:outlineLvl w:val="2"/>
    </w:pPr>
    <w:rPr>
      <w:rFonts w:ascii="Cambria" w:eastAsia="Cambria" w:hAnsi="Cambria" w:cs="Cambria"/>
      <w:b/>
      <w:bCs/>
      <w:sz w:val="22"/>
      <w:szCs w:val="22"/>
    </w:rPr>
  </w:style>
  <w:style w:type="paragraph" w:styleId="BodyText">
    <w:name w:val="Body Text"/>
    <w:basedOn w:val="Normal"/>
    <w:link w:val="BodyTextChar"/>
    <w:qFormat/>
    <w:pPr>
      <w:spacing w:line="259" w:lineRule="auto"/>
      <w:ind w:firstLine="40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Helena</dc:creator>
  <cp:keywords/>
  <cp:lastModifiedBy>Liana Brili</cp:lastModifiedBy>
  <cp:revision>2</cp:revision>
  <dcterms:created xsi:type="dcterms:W3CDTF">2023-01-30T12:45:00Z</dcterms:created>
  <dcterms:modified xsi:type="dcterms:W3CDTF">2023-01-30T12:49:00Z</dcterms:modified>
</cp:coreProperties>
</file>