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DC9D" w14:textId="282E5D0C" w:rsidR="007A1FAA" w:rsidRPr="00153F89" w:rsidRDefault="007A1FAA" w:rsidP="00C54A0E">
      <w:pPr>
        <w:jc w:val="center"/>
        <w:rPr>
          <w:b/>
        </w:rPr>
      </w:pPr>
      <w:r>
        <w:rPr>
          <w:b/>
        </w:rPr>
        <w:t xml:space="preserve">Ustawa […] z 2023 r.</w:t>
      </w:r>
    </w:p>
    <w:p w14:paraId="4A900911" w14:textId="77777777" w:rsidR="007A1FAA" w:rsidRPr="00153F89" w:rsidRDefault="007A1FAA" w:rsidP="00C54A0E">
      <w:pPr>
        <w:jc w:val="center"/>
        <w:rPr>
          <w:b/>
        </w:rPr>
      </w:pPr>
    </w:p>
    <w:p w14:paraId="3305083E" w14:textId="28A6A7D7" w:rsidR="007A1FAA" w:rsidRDefault="007A1FAA" w:rsidP="00C54A0E">
      <w:pPr>
        <w:jc w:val="center"/>
        <w:rPr>
          <w:b/>
        </w:rPr>
      </w:pPr>
      <w:r>
        <w:rPr>
          <w:b/>
        </w:rPr>
        <w:t xml:space="preserve">zmieniająca ustawę XLII z 1999 r. </w:t>
      </w:r>
      <w:r>
        <w:rPr>
          <w:b/>
          <w:rStyle w:val="Emphasis"/>
          <w:i w:val="0"/>
        </w:rPr>
        <w:t xml:space="preserve">o ochronie osób niepalących</w:t>
      </w:r>
      <w:r>
        <w:rPr>
          <w:b/>
        </w:rPr>
        <w:t xml:space="preserve"> oraz niektórych przepisów dotyczących konsumpcji i dystrybucji wyrobów tytoniowych oraz ustawę CXXXIV z 2012 r. o zwalczaniu palenia wśród małoletnich oraz handlu detalicznym wyrobami tytoniowymi</w:t>
      </w:r>
    </w:p>
    <w:p w14:paraId="60E721BE" w14:textId="1C81A8B7" w:rsidR="007A1FAA" w:rsidRDefault="007A1FAA" w:rsidP="00C54A0E">
      <w:pPr>
        <w:jc w:val="center"/>
        <w:rPr>
          <w:b/>
        </w:rPr>
      </w:pPr>
    </w:p>
    <w:p w14:paraId="35324481" w14:textId="647AE267" w:rsidR="00396C85" w:rsidRDefault="00396C85" w:rsidP="00C54A0E">
      <w:pPr>
        <w:jc w:val="center"/>
        <w:rPr>
          <w:b/>
        </w:rPr>
      </w:pPr>
    </w:p>
    <w:p w14:paraId="594C6594" w14:textId="62E1C8A3" w:rsidR="00396C85" w:rsidRDefault="00396C85" w:rsidP="00C54A0E">
      <w:pPr>
        <w:jc w:val="center"/>
        <w:rPr>
          <w:b/>
        </w:rPr>
      </w:pPr>
    </w:p>
    <w:p w14:paraId="0ADB084F" w14:textId="3753FB14" w:rsidR="00396C85" w:rsidRPr="00153F89" w:rsidRDefault="00396C85" w:rsidP="00913058">
      <w:pPr>
        <w:jc w:val="center"/>
        <w:rPr>
          <w:b/>
          <w:kern w:val="2"/>
          <w:rFonts w:eastAsia="Noto Sans CJK SC"/>
        </w:rPr>
      </w:pPr>
      <w:r>
        <w:rPr>
          <w:b/>
        </w:rPr>
        <w:t xml:space="preserve">1.</w:t>
      </w:r>
      <w:r>
        <w:rPr>
          <w:b/>
        </w:rPr>
        <w:t xml:space="preserve"> </w:t>
      </w:r>
      <w:r>
        <w:rPr>
          <w:b/>
        </w:rPr>
        <w:t xml:space="preserve">Zmiana ustawy XLII z 1999 r. </w:t>
      </w:r>
      <w:r>
        <w:rPr>
          <w:b/>
          <w:rStyle w:val="Emphasis"/>
          <w:i w:val="0"/>
        </w:rPr>
        <w:t xml:space="preserve">o ochronie osób niepalących</w:t>
      </w:r>
      <w:r>
        <w:rPr>
          <w:b/>
        </w:rPr>
        <w:t xml:space="preserve"> oraz niektórych przepisów dotyczących konsumpcji i dystrybucji wyrobów tytoniowych</w:t>
      </w:r>
    </w:p>
    <w:p w14:paraId="77B62EF7" w14:textId="77777777" w:rsidR="007A1FAA" w:rsidRDefault="007A1FAA" w:rsidP="00C54A0E">
      <w:pPr>
        <w:jc w:val="center"/>
        <w:rPr>
          <w:rFonts w:eastAsia="Noto Sans CJK SC"/>
          <w:b/>
          <w:kern w:val="2"/>
          <w:lang w:eastAsia="zh-CN" w:bidi="hi-IN"/>
        </w:rPr>
      </w:pPr>
    </w:p>
    <w:p w14:paraId="37AE6481" w14:textId="77777777" w:rsidR="007A1FAA" w:rsidRDefault="007A1FAA" w:rsidP="00C54A0E">
      <w:pPr>
        <w:jc w:val="center"/>
        <w:rPr>
          <w:rFonts w:eastAsia="Noto Sans CJK SC"/>
          <w:b/>
          <w:kern w:val="2"/>
          <w:lang w:eastAsia="zh-CN" w:bidi="hi-IN"/>
        </w:rPr>
      </w:pPr>
    </w:p>
    <w:p w14:paraId="7602B97D" w14:textId="1DC3F8E9" w:rsidR="00C54A0E" w:rsidRPr="00C54A0E" w:rsidRDefault="00835734" w:rsidP="00C54A0E">
      <w:pPr>
        <w:jc w:val="center"/>
        <w:rPr>
          <w:b/>
          <w:kern w:val="2"/>
          <w:rFonts w:eastAsia="Noto Sans CJK SC"/>
        </w:rPr>
      </w:pPr>
      <w:r>
        <w:rPr>
          <w:b/>
        </w:rPr>
        <w:t xml:space="preserve">Artykuł 1</w:t>
      </w:r>
    </w:p>
    <w:p w14:paraId="59207714" w14:textId="77777777" w:rsidR="00C54A0E" w:rsidRDefault="00C54A0E" w:rsidP="00DB125E">
      <w:pPr>
        <w:jc w:val="both"/>
        <w:rPr>
          <w:rFonts w:eastAsia="Noto Sans CJK SC"/>
          <w:kern w:val="2"/>
          <w:lang w:eastAsia="zh-CN" w:bidi="hi-IN"/>
        </w:rPr>
      </w:pPr>
    </w:p>
    <w:p w14:paraId="1103FA69" w14:textId="1C54AF0F" w:rsidR="00DB125E" w:rsidRDefault="004049B2" w:rsidP="00DB125E">
      <w:pPr>
        <w:jc w:val="both"/>
      </w:pPr>
      <w:r>
        <w:t xml:space="preserve">(1)</w:t>
      </w:r>
      <w:r>
        <w:t xml:space="preserve"> </w:t>
      </w:r>
      <w:r>
        <w:t xml:space="preserve">W ustawie XLII z 1999 r. o ochronie osób niepalących oraz niektórych przepisach dotyczących konsumpcji i dystrybucji wyrobów tytoniowych (zwanej dalej „ustawą o niepaleniu”), art. 1 lit. </w:t>
      </w:r>
      <w:r>
        <w:rPr>
          <w:i/>
        </w:rPr>
        <w:t xml:space="preserve">s)</w:t>
      </w:r>
      <w:r>
        <w:t xml:space="preserve"> oraz </w:t>
      </w:r>
      <w:r>
        <w:rPr>
          <w:i/>
        </w:rPr>
        <w:t xml:space="preserve">t)</w:t>
      </w:r>
      <w:r>
        <w:t xml:space="preserve"> otrzymuje brzmienie:</w:t>
      </w:r>
      <w:r>
        <w:t xml:space="preserve"> </w:t>
      </w:r>
    </w:p>
    <w:p w14:paraId="60AA4A3C" w14:textId="77777777" w:rsidR="00DB125E" w:rsidRDefault="00DB125E" w:rsidP="00DB125E">
      <w:pPr>
        <w:jc w:val="both"/>
      </w:pPr>
    </w:p>
    <w:p w14:paraId="7FEED38F" w14:textId="77777777" w:rsidR="00DB125E" w:rsidRPr="00E5303B" w:rsidRDefault="00DB125E" w:rsidP="00DB125E">
      <w:pPr>
        <w:suppressAutoHyphens/>
        <w:jc w:val="both"/>
        <w:rPr>
          <w:i/>
          <w:iCs/>
          <w:kern w:val="2"/>
          <w:rFonts w:eastAsia="Noto Sans CJK SC"/>
        </w:rPr>
      </w:pPr>
      <w:r>
        <w:rPr>
          <w:i/>
        </w:rPr>
        <w:t xml:space="preserve">(Do celów niniejszej ustawy)</w:t>
      </w:r>
    </w:p>
    <w:p w14:paraId="08370725" w14:textId="77777777" w:rsidR="00DB125E" w:rsidRPr="005A143B" w:rsidRDefault="00DB125E" w:rsidP="00DB125E">
      <w:pPr>
        <w:jc w:val="both"/>
      </w:pPr>
    </w:p>
    <w:p w14:paraId="4219C306" w14:textId="77777777" w:rsidR="00DB125E" w:rsidRPr="00164E2E" w:rsidRDefault="00DB125E" w:rsidP="00DB125E">
      <w:pPr>
        <w:jc w:val="both"/>
      </w:pPr>
      <w:r>
        <w:t xml:space="preserve">„</w:t>
      </w:r>
      <w:r>
        <w:rPr>
          <w:i/>
        </w:rPr>
        <w:t xml:space="preserve">s)</w:t>
      </w:r>
      <w:r>
        <w:t xml:space="preserve"> </w:t>
      </w:r>
      <w:r>
        <w:rPr>
          <w:i/>
        </w:rPr>
        <w:t xml:space="preserve">elektroniczne urządzenie do imitacji palenia</w:t>
      </w:r>
      <w:r>
        <w:t xml:space="preserve"> jest produktem elektronicznym przeznaczonym do jednorazowego użytku (jednorazowym) lub produktem, który może być ponownie napełniony pojemnikiem zapasowym bez nikotyny lub obsługiwany z wkładem bez nikotyny (do wielokrotnego użytku), który może być używany do konsumpcji oparów bez nikotyny za pomocą ustnika;</w:t>
      </w:r>
      <w:r>
        <w:t xml:space="preserve"> </w:t>
      </w:r>
      <w:r>
        <w:t xml:space="preserve">lub jakikolwiek składnik tego produktu, w tym zbiorniki, lub jakiekolwiek urządzenie bez wkładu lub zbiornika;</w:t>
      </w:r>
    </w:p>
    <w:p w14:paraId="715B99F0" w14:textId="77777777" w:rsidR="00DB125E" w:rsidRPr="00164E2E" w:rsidRDefault="00DB125E" w:rsidP="00DB125E">
      <w:pPr>
        <w:jc w:val="both"/>
      </w:pPr>
      <w:r>
        <w:rPr>
          <w:i/>
        </w:rPr>
        <w:t xml:space="preserve">t)</w:t>
      </w:r>
      <w:r>
        <w:t xml:space="preserve"> </w:t>
      </w:r>
      <w:r>
        <w:rPr>
          <w:i/>
        </w:rPr>
        <w:t xml:space="preserve">pojemnik zapasowy bez nikotyny</w:t>
      </w:r>
      <w:r>
        <w:t xml:space="preserve"> jest zbiornikiem zawierającym płyn bez nikotyny do ponownego napełniania elektronicznego urządzenia do imitacji palenia;”</w:t>
      </w:r>
    </w:p>
    <w:p w14:paraId="622D8771" w14:textId="77777777" w:rsidR="00DB125E" w:rsidRDefault="00DB125E" w:rsidP="00DB125E">
      <w:pPr>
        <w:jc w:val="both"/>
      </w:pPr>
    </w:p>
    <w:p w14:paraId="07B1F29D" w14:textId="747BAB26" w:rsidR="00DB125E" w:rsidRDefault="00DB125E" w:rsidP="00DB125E">
      <w:pPr>
        <w:jc w:val="both"/>
      </w:pPr>
      <w:r>
        <w:t xml:space="preserve">(2)</w:t>
      </w:r>
      <w:r>
        <w:t xml:space="preserve"> </w:t>
      </w:r>
      <w:r>
        <w:t xml:space="preserve">W ustawie o niepaleniu w art. 1 dodaje się lit. </w:t>
      </w:r>
      <w:r>
        <w:rPr>
          <w:i/>
        </w:rPr>
        <w:t xml:space="preserve">z)</w:t>
      </w:r>
      <w:r>
        <w:t xml:space="preserve">:</w:t>
      </w:r>
      <w:r>
        <w:t xml:space="preserve"> </w:t>
      </w:r>
    </w:p>
    <w:p w14:paraId="7979A114" w14:textId="77777777" w:rsidR="00AF7221" w:rsidRDefault="00AF7221" w:rsidP="00DB125E">
      <w:pPr>
        <w:suppressAutoHyphens/>
        <w:jc w:val="both"/>
        <w:rPr>
          <w:rFonts w:eastAsia="Noto Sans CJK SC"/>
          <w:i/>
          <w:iCs/>
          <w:kern w:val="2"/>
          <w:lang w:eastAsia="zh-CN" w:bidi="hi-IN"/>
        </w:rPr>
      </w:pPr>
    </w:p>
    <w:p w14:paraId="50B52E7A" w14:textId="77777777" w:rsidR="00DB125E" w:rsidRPr="00E5303B" w:rsidRDefault="00DB125E" w:rsidP="00DB125E">
      <w:pPr>
        <w:suppressAutoHyphens/>
        <w:jc w:val="both"/>
        <w:rPr>
          <w:i/>
          <w:iCs/>
          <w:kern w:val="2"/>
          <w:rFonts w:eastAsia="Noto Sans CJK SC"/>
        </w:rPr>
      </w:pPr>
      <w:r>
        <w:rPr>
          <w:i/>
        </w:rPr>
        <w:t xml:space="preserve">(Do celów niniejszej ustawy)</w:t>
      </w:r>
    </w:p>
    <w:p w14:paraId="51C4D610" w14:textId="77777777" w:rsidR="00DB125E" w:rsidRPr="00164E2E" w:rsidRDefault="00DB125E" w:rsidP="00DB125E">
      <w:pPr>
        <w:jc w:val="both"/>
      </w:pPr>
    </w:p>
    <w:p w14:paraId="0754F231" w14:textId="77777777" w:rsidR="00DB125E" w:rsidRPr="00164E2E" w:rsidRDefault="00DB125E" w:rsidP="00DB125E">
      <w:pPr>
        <w:jc w:val="both"/>
      </w:pPr>
      <w:r>
        <w:t xml:space="preserve">„</w:t>
      </w:r>
      <w:r>
        <w:rPr>
          <w:i/>
        </w:rPr>
        <w:t xml:space="preserve">z) wkład bez nikotyny</w:t>
      </w:r>
      <w:r>
        <w:t xml:space="preserve"> jest rodzajem pojemnika zapasowego bez nikotyny, który jest wymagany do stosowania niektórych elektronicznych urządzeń do imitacji palenia i który jest zbiornikiem zawierającym płyn bez nikotyny w jakiejkolwiek postaci, zwykle do jednorazowego użytku (nienadający się do ponownego napełniania).”</w:t>
      </w:r>
    </w:p>
    <w:p w14:paraId="60DBF520" w14:textId="77777777" w:rsidR="00DB125E" w:rsidRPr="00E5303B" w:rsidRDefault="00DB125E" w:rsidP="00DB125E">
      <w:pPr>
        <w:pStyle w:val="BodyText"/>
        <w:spacing w:after="0"/>
      </w:pPr>
    </w:p>
    <w:p w14:paraId="7157B6B9" w14:textId="77F5D7FF" w:rsidR="00DB125E" w:rsidRPr="00E5303B" w:rsidRDefault="002D6BBD" w:rsidP="00DB125E">
      <w:pPr>
        <w:suppressAutoHyphens/>
        <w:jc w:val="center"/>
        <w:rPr>
          <w:b/>
          <w:bCs/>
          <w:kern w:val="2"/>
          <w:rFonts w:eastAsia="Noto Sans CJK SC"/>
        </w:rPr>
      </w:pPr>
      <w:r>
        <w:rPr>
          <w:b/>
        </w:rPr>
        <w:t xml:space="preserve">Artykuł 2</w:t>
      </w:r>
      <w:r>
        <w:rPr>
          <w:b/>
        </w:rPr>
        <w:t xml:space="preserve"> </w:t>
      </w:r>
    </w:p>
    <w:p w14:paraId="4D09B8D7" w14:textId="77777777" w:rsidR="00DB125E" w:rsidRPr="00E5303B" w:rsidRDefault="00DB125E" w:rsidP="00DB125E">
      <w:pPr>
        <w:suppressAutoHyphens/>
        <w:jc w:val="center"/>
        <w:rPr>
          <w:rFonts w:eastAsia="Noto Sans CJK SC"/>
          <w:b/>
          <w:bCs/>
          <w:kern w:val="2"/>
          <w:lang w:eastAsia="zh-CN" w:bidi="hi-IN"/>
        </w:rPr>
      </w:pPr>
    </w:p>
    <w:p w14:paraId="0904DDA9" w14:textId="77777777" w:rsidR="00DB125E" w:rsidRPr="00E5303B" w:rsidRDefault="00DB125E" w:rsidP="00DB125E">
      <w:pPr>
        <w:suppressAutoHyphens/>
        <w:jc w:val="both"/>
        <w:rPr>
          <w:kern w:val="2"/>
          <w:rFonts w:eastAsia="Noto Sans CJK SC"/>
        </w:rPr>
      </w:pPr>
      <w:r>
        <w:t xml:space="preserve">(1)</w:t>
      </w:r>
      <w:r>
        <w:t xml:space="preserve"> </w:t>
      </w:r>
      <w:r>
        <w:t xml:space="preserve">Art. 7/D ust. 1 ustawy o niepaleniu otrzymuje brzmienie:</w:t>
      </w:r>
    </w:p>
    <w:p w14:paraId="1AB84FCC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2BDA0FD0" w14:textId="77777777" w:rsidR="00DB125E" w:rsidRPr="00E5303B" w:rsidRDefault="00DB125E" w:rsidP="00DB125E">
      <w:pPr>
        <w:suppressAutoHyphens/>
        <w:jc w:val="both"/>
        <w:rPr>
          <w:kern w:val="2"/>
          <w:rFonts w:eastAsia="Noto Sans CJK SC"/>
        </w:rPr>
      </w:pPr>
      <w:r>
        <w:t xml:space="preserve">„1.</w:t>
      </w:r>
      <w:r>
        <w:t xml:space="preserve"> </w:t>
      </w:r>
      <w:r>
        <w:t xml:space="preserve">Producenci i importerzy papierosów elektronicznych, pojemników i wkładów zapasowych, elektronicznych urządzeń do imitacji palenia, pojemników zapasowych bez nikotyny, wkładów bez nikotyny i substytutów palenia zawierających nikotynę oraz ich dystrybutorzy na Węgrzech powiadamiają organ ds. zdrowia publicznego o wszelkich produktach, które zamierzają wprowadzić do obrotu, sześć miesięcy przed ich wprowadzeniem do obrotu.”</w:t>
      </w:r>
    </w:p>
    <w:p w14:paraId="679D7C12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1FADB2C1" w14:textId="77777777" w:rsidR="00DB125E" w:rsidRPr="00E5303B" w:rsidRDefault="00DB125E" w:rsidP="00DB125E">
      <w:pPr>
        <w:suppressAutoHyphens/>
        <w:jc w:val="both"/>
        <w:rPr>
          <w:kern w:val="2"/>
          <w:rFonts w:eastAsia="Noto Sans CJK SC"/>
        </w:rPr>
      </w:pPr>
      <w:r>
        <w:t xml:space="preserve">(2)</w:t>
      </w:r>
      <w:r>
        <w:t xml:space="preserve"> </w:t>
      </w:r>
      <w:r>
        <w:t xml:space="preserve">Art. 7/D ust. 3 ustawy o niepaleniu otrzymuje brzmienie:</w:t>
      </w:r>
    </w:p>
    <w:p w14:paraId="65AF6563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14D1678D" w14:textId="77777777" w:rsidR="00DB125E" w:rsidRPr="00E5303B" w:rsidRDefault="00DB125E" w:rsidP="00DB125E">
      <w:pPr>
        <w:suppressAutoHyphens/>
        <w:jc w:val="both"/>
        <w:rPr>
          <w:kern w:val="2"/>
          <w:rFonts w:eastAsia="Noto Sans CJK SC"/>
        </w:rPr>
      </w:pPr>
      <w:r>
        <w:t xml:space="preserve">„3.</w:t>
      </w:r>
      <w:r>
        <w:t xml:space="preserve"> </w:t>
      </w:r>
      <w:r>
        <w:t xml:space="preserve">Zgodnie z ust. 1 organowi ds. zdrowia publicznego zgłasza się następujące informacje:</w:t>
      </w:r>
    </w:p>
    <w:p w14:paraId="407E44DE" w14:textId="77777777" w:rsidR="00DB125E" w:rsidRPr="00E5303B" w:rsidRDefault="00DB125E" w:rsidP="00DB125E">
      <w:pPr>
        <w:suppressAutoHyphens/>
        <w:jc w:val="both"/>
        <w:rPr>
          <w:kern w:val="2"/>
          <w:rFonts w:eastAsia="Noto Sans CJK SC"/>
        </w:rPr>
      </w:pPr>
      <w:r>
        <w:t xml:space="preserve">a) wszelkie zmiany w papierosach elektronicznych, pojemnikach i wkładach zapasowych, elektronicznych urządzeniach do imitacji palenia, pojemnikach zapasowych bez nikotyny, wkładach bez nikotyny i substytutach palenia zawierających nikotynę, które mają wpływ na właściwości techniczne produktu określone w niniejszej ustawie lub w dekrecie rządowym wydanym na podstawie upoważnienia niniejszej ustawy, oraz</w:t>
      </w:r>
    </w:p>
    <w:p w14:paraId="4724DEC7" w14:textId="77777777" w:rsidR="00DB125E" w:rsidRPr="00E5303B" w:rsidRDefault="00DB125E" w:rsidP="00DB125E">
      <w:pPr>
        <w:suppressAutoHyphens/>
        <w:jc w:val="both"/>
        <w:rPr>
          <w:kern w:val="2"/>
          <w:rFonts w:eastAsia="Noto Sans CJK SC"/>
        </w:rPr>
      </w:pPr>
      <w:r>
        <w:t xml:space="preserve">b) zmiany tożsamości i dostępności producenta, importera lub węgierskiego dystrybutora papierosów elektronicznych, pojemników i wkładów zapasowych, elektronicznych urządzeń do imitacji palenia, pojemników zapasowych bez nikotyny, wkładów bez nikotyny i substytutów palenia zawierających nikotynę.”</w:t>
      </w:r>
    </w:p>
    <w:p w14:paraId="6C8341DF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0282F017" w14:textId="77777777" w:rsidR="00DB125E" w:rsidRPr="00E5303B" w:rsidRDefault="00DB125E" w:rsidP="00DB125E">
      <w:pPr>
        <w:suppressAutoHyphens/>
        <w:jc w:val="both"/>
        <w:rPr>
          <w:kern w:val="2"/>
          <w:rFonts w:eastAsia="Noto Sans CJK SC"/>
        </w:rPr>
      </w:pPr>
      <w:r>
        <w:t xml:space="preserve">(3)</w:t>
      </w:r>
      <w:r>
        <w:t xml:space="preserve"> </w:t>
      </w:r>
      <w:r>
        <w:t xml:space="preserve">W ustawie o niepaleniu dodaje się ust. 5 i 6 w art. 7/D w brzmieniu:</w:t>
      </w:r>
    </w:p>
    <w:p w14:paraId="7441615E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0B414A24" w14:textId="77777777" w:rsidR="00DB125E" w:rsidRPr="00E5303B" w:rsidRDefault="00DB125E" w:rsidP="00DB125E">
      <w:pPr>
        <w:suppressAutoHyphens/>
        <w:jc w:val="both"/>
        <w:rPr>
          <w:kern w:val="2"/>
          <w:rFonts w:eastAsia="Noto Sans CJK SC"/>
        </w:rPr>
      </w:pPr>
      <w:r>
        <w:t xml:space="preserve">„5.</w:t>
      </w:r>
      <w:r>
        <w:t xml:space="preserve"> </w:t>
      </w:r>
      <w:r>
        <w:t xml:space="preserve">Organ ds. zdrowia publicznego prowadzi ewidencję produktów zgłoszonych zgodnie z ust. 1, która zawiera:</w:t>
      </w:r>
    </w:p>
    <w:p w14:paraId="62C5FC5A" w14:textId="77777777" w:rsidR="00DB125E" w:rsidRPr="00E5303B" w:rsidRDefault="00DB125E" w:rsidP="00DB125E">
      <w:pPr>
        <w:suppressAutoHyphens/>
        <w:ind w:left="426" w:hanging="426"/>
        <w:jc w:val="both"/>
        <w:rPr>
          <w:kern w:val="2"/>
          <w:rFonts w:eastAsia="Noto Sans CJK SC"/>
        </w:rPr>
      </w:pPr>
      <w:r>
        <w:t xml:space="preserve">a) nazwę podmiotu zgłaszającego, producenta, importera lub węgierskiego dystrybutora,</w:t>
      </w:r>
    </w:p>
    <w:p w14:paraId="606EE827" w14:textId="77777777" w:rsidR="00DB125E" w:rsidRPr="00E5303B" w:rsidRDefault="00DB125E" w:rsidP="00DB125E">
      <w:pPr>
        <w:suppressAutoHyphens/>
        <w:ind w:left="426" w:hanging="426"/>
        <w:jc w:val="both"/>
        <w:rPr>
          <w:kern w:val="2"/>
          <w:rFonts w:eastAsia="Noto Sans CJK SC"/>
        </w:rPr>
      </w:pPr>
      <w:r>
        <w:t xml:space="preserve">b) numer identyfikacyjny papierosów elektronicznych,</w:t>
      </w:r>
    </w:p>
    <w:p w14:paraId="19CD09BF" w14:textId="77777777" w:rsidR="00DB125E" w:rsidRPr="00E5303B" w:rsidRDefault="00DB125E" w:rsidP="00DB125E">
      <w:pPr>
        <w:suppressAutoHyphens/>
        <w:ind w:left="426" w:hanging="426"/>
        <w:jc w:val="both"/>
        <w:rPr>
          <w:kern w:val="2"/>
          <w:rFonts w:eastAsia="Noto Sans CJK SC"/>
        </w:rPr>
      </w:pPr>
      <w:r>
        <w:t xml:space="preserve">c) markę i podmarkę,</w:t>
      </w:r>
    </w:p>
    <w:p w14:paraId="69FB953D" w14:textId="77777777" w:rsidR="00DB125E" w:rsidRPr="00E5303B" w:rsidRDefault="00DB125E" w:rsidP="00DB125E">
      <w:pPr>
        <w:suppressAutoHyphens/>
        <w:ind w:left="426" w:hanging="426"/>
        <w:jc w:val="both"/>
        <w:rPr>
          <w:kern w:val="2"/>
          <w:rFonts w:eastAsia="Noto Sans CJK SC"/>
        </w:rPr>
      </w:pPr>
      <w:r>
        <w:t xml:space="preserve">d) rodzaj produktu,</w:t>
      </w:r>
    </w:p>
    <w:p w14:paraId="73992F7B" w14:textId="77777777" w:rsidR="00DB125E" w:rsidRPr="00E5303B" w:rsidRDefault="00DB125E" w:rsidP="00DB125E">
      <w:pPr>
        <w:suppressAutoHyphens/>
        <w:ind w:left="426" w:hanging="426"/>
        <w:jc w:val="both"/>
        <w:rPr>
          <w:kern w:val="2"/>
          <w:rFonts w:eastAsia="Noto Sans CJK SC"/>
        </w:rPr>
      </w:pPr>
      <w:r>
        <w:t xml:space="preserve">e) numer seryjny wydanego świadectwa o powiadomieniu, oraz</w:t>
      </w:r>
    </w:p>
    <w:p w14:paraId="56BF7838" w14:textId="77777777" w:rsidR="00DB125E" w:rsidRPr="00E5303B" w:rsidRDefault="00DB125E" w:rsidP="00DB125E">
      <w:pPr>
        <w:suppressAutoHyphens/>
        <w:ind w:left="426" w:hanging="426"/>
        <w:jc w:val="both"/>
        <w:rPr>
          <w:kern w:val="2"/>
          <w:rFonts w:eastAsia="Noto Sans CJK SC"/>
        </w:rPr>
      </w:pPr>
      <w:r>
        <w:t xml:space="preserve">f) pierwszy możliwy dzień wprowadzenia do obrotu, obliczony zgodnie z ust. 1.</w:t>
      </w:r>
    </w:p>
    <w:p w14:paraId="0A73E3F9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1AFD82F4" w14:textId="77777777" w:rsidR="00DB125E" w:rsidRPr="00E5303B" w:rsidRDefault="00DB125E" w:rsidP="00DB125E">
      <w:pPr>
        <w:suppressAutoHyphens/>
        <w:jc w:val="both"/>
        <w:rPr>
          <w:kern w:val="2"/>
          <w:rFonts w:eastAsia="Noto Sans CJK SC"/>
        </w:rPr>
      </w:pPr>
      <w:r>
        <w:t xml:space="preserve">(6)</w:t>
      </w:r>
      <w:r>
        <w:t xml:space="preserve"> </w:t>
      </w:r>
      <w:r>
        <w:t xml:space="preserve">Węgierski producent, importer i dystrybutor dbają o wycofanie z rynku i odkupienie każdego produktu objętego zakazem wprowadzania do obrotu, a przechowywanego w magazynie przez detalistę wyrobów tytoniowych.”</w:t>
      </w:r>
    </w:p>
    <w:p w14:paraId="0A9586A9" w14:textId="422B59D3" w:rsidR="00333428" w:rsidRDefault="00333428"/>
    <w:p w14:paraId="1421BAD6" w14:textId="29A4BA46" w:rsidR="002D6BBD" w:rsidRDefault="002D6BBD" w:rsidP="00153F89">
      <w:pPr>
        <w:jc w:val="center"/>
        <w:rPr>
          <w:b/>
        </w:rPr>
      </w:pPr>
      <w:r>
        <w:rPr>
          <w:b/>
        </w:rPr>
        <w:t xml:space="preserve">Artykuł 3</w:t>
      </w:r>
    </w:p>
    <w:p w14:paraId="49A18EF4" w14:textId="77777777" w:rsidR="002D6BBD" w:rsidRPr="002D6BBD" w:rsidRDefault="002D6BBD" w:rsidP="00741559">
      <w:pPr>
        <w:suppressAutoHyphens/>
        <w:rPr>
          <w:rFonts w:eastAsia="Noto Sans CJK SC"/>
          <w:b/>
          <w:bCs/>
          <w:kern w:val="2"/>
          <w:lang w:eastAsia="zh-CN" w:bidi="hi-IN"/>
        </w:rPr>
      </w:pPr>
    </w:p>
    <w:p w14:paraId="55F5F8E9" w14:textId="77777777" w:rsidR="002D6BBD" w:rsidRPr="002D6BBD" w:rsidRDefault="002D6BBD" w:rsidP="002D6BBD">
      <w:pPr>
        <w:suppressAutoHyphens/>
        <w:jc w:val="both"/>
        <w:rPr>
          <w:kern w:val="2"/>
          <w:rFonts w:eastAsia="Noto Sans CJK SC"/>
        </w:rPr>
      </w:pPr>
      <w:r>
        <w:t xml:space="preserve">  </w:t>
      </w:r>
      <w:r>
        <w:t xml:space="preserve">Art. 8 ust. 5 lit. a) ustawy o niepaleniu otrzymuje brzmienie:</w:t>
      </w:r>
    </w:p>
    <w:p w14:paraId="585AED6B" w14:textId="77777777" w:rsidR="002D6BBD" w:rsidRPr="002D6BBD" w:rsidRDefault="002D6BBD" w:rsidP="002D6BBD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3352F57E" w14:textId="77777777" w:rsidR="002D6BBD" w:rsidRPr="002D6BBD" w:rsidRDefault="002D6BBD" w:rsidP="002D6BBD">
      <w:pPr>
        <w:suppressAutoHyphens/>
        <w:jc w:val="both"/>
        <w:rPr>
          <w:i/>
          <w:iCs/>
          <w:kern w:val="2"/>
          <w:rFonts w:eastAsia="Noto Sans CJK SC"/>
        </w:rPr>
      </w:pPr>
      <w:r>
        <w:rPr>
          <w:i/>
        </w:rPr>
        <w:t xml:space="preserve">(Rząd zostaje niniejszym upoważniony do określenia i ustanowienia w drodze rozporządzenia:</w:t>
      </w:r>
    </w:p>
    <w:p w14:paraId="10A0B187" w14:textId="77777777" w:rsidR="002D6BBD" w:rsidRPr="002D6BBD" w:rsidRDefault="002D6BBD" w:rsidP="002D6BBD">
      <w:pPr>
        <w:suppressAutoHyphens/>
        <w:jc w:val="both"/>
        <w:rPr>
          <w:rFonts w:eastAsia="Noto Sans CJK SC"/>
          <w:i/>
          <w:iCs/>
          <w:kern w:val="2"/>
          <w:lang w:eastAsia="zh-CN" w:bidi="hi-IN"/>
        </w:rPr>
      </w:pPr>
    </w:p>
    <w:p w14:paraId="455FABFB" w14:textId="7FC737D8" w:rsidR="002D6BBD" w:rsidRPr="00153F89" w:rsidRDefault="002D6BBD" w:rsidP="00153F89">
      <w:pPr>
        <w:jc w:val="both"/>
        <w:rPr>
          <w:b/>
        </w:rPr>
      </w:pPr>
      <w:r>
        <w:t xml:space="preserve">a) połączonych ostrzeżeń, ostrzeżeń zdrowotnych i szczegółowych zasad ich stosowania, a także szczegółowych zasad dotyczących opakowań konsumenckich wyrobów tytoniowych i jednostek opakowań papierosów elektronicznych, pojemników zapasowych, elektronicznych urządzeń do imitacji palenia, pojemników zapasowych bez nikotyny, wkładów bez nikotyny i substytutów palenia zawierających nikotynę, zawartości i formy znaków i oznaczeń dla ograniczenia palenia oraz wyznaczonych stref palenia, a także dotyczących stosowania papierosów elektronicznych i elektronicznych urządzeń do imitacji palenia, oprócz innych warunków produkcji, dystrybucji i kontroli wyrobów tytoniowych, papierosów elektronicznych, pojemników zapasowych, elektronicznych urządzeń do imitacji palenia, pojemników zapasowych bez nikotyny i substytutów palenia zawierających nikotynę, przy czym warunki te nie są objęte zakresem stosowania ustawy o podatku akcyzowym,”</w:t>
      </w:r>
    </w:p>
    <w:p w14:paraId="0D5D932B" w14:textId="77777777" w:rsidR="002D6BBD" w:rsidRDefault="002D6BBD"/>
    <w:p w14:paraId="255BC7D4" w14:textId="48DF91E1" w:rsidR="00DB125E" w:rsidRPr="00D55D42" w:rsidRDefault="00827692" w:rsidP="00DB125E">
      <w:pPr>
        <w:suppressAutoHyphens/>
        <w:jc w:val="center"/>
        <w:rPr>
          <w:b/>
          <w:kern w:val="2"/>
          <w:rFonts w:eastAsia="Noto Sans CJK SC"/>
        </w:rPr>
      </w:pPr>
      <w:r>
        <w:rPr>
          <w:b/>
        </w:rPr>
        <w:t xml:space="preserve">Artykuł 4</w:t>
      </w:r>
    </w:p>
    <w:p w14:paraId="4D0DDFF7" w14:textId="77777777" w:rsidR="00DB125E" w:rsidRPr="007F65B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2855D94E" w14:textId="77777777" w:rsidR="00DB125E" w:rsidRPr="00D55D42" w:rsidRDefault="00DB125E" w:rsidP="00DB125E">
      <w:pPr>
        <w:jc w:val="both"/>
      </w:pPr>
      <w:r>
        <w:t xml:space="preserve">W art. 10 ustawy o niepaleniu dodaje się ust. 4a w brzmieniu:</w:t>
      </w:r>
    </w:p>
    <w:p w14:paraId="007E3F42" w14:textId="77777777" w:rsidR="00DB125E" w:rsidRPr="00D55D42" w:rsidRDefault="00DB125E" w:rsidP="00DB125E">
      <w:pPr>
        <w:jc w:val="center"/>
      </w:pPr>
    </w:p>
    <w:p w14:paraId="37B8ADF9" w14:textId="59AF2AF0" w:rsidR="005777D3" w:rsidRDefault="00DB125E" w:rsidP="005777D3">
      <w:pPr>
        <w:jc w:val="both"/>
      </w:pPr>
      <w:r>
        <w:t xml:space="preserve">„4a. W przypadku pojemników zapasowych bez nikotyny, wkładów bez nikotyny i substytutów palenia zawierających nikotynę już dostępnych na rynku w dniu 1 września 2023 r. zgłoszenie w rozumieniu art. 7/D ust. 1 zgodnie z art. 2 ustawy … z dnia 2023 r. zmieniającej ustawę XLII z 1999 r. o ochronie osób niepalących oraz niektóre przepisy dotyczące konsumpcji i dystrybucji wyrobów tytoniowych oraz ustawę CXXXIV z 2012 r. o zwalczaniu palenia wśród małoletnich oraz handlu detalicznym wyrobami tytoniowymi</w:t>
      </w:r>
    </w:p>
    <w:p w14:paraId="064D8A1E" w14:textId="4F3F8F5C" w:rsidR="00DB125E" w:rsidRDefault="005777D3" w:rsidP="005777D3">
      <w:pPr>
        <w:jc w:val="both"/>
      </w:pPr>
      <w:r>
        <w:t xml:space="preserve">  </w:t>
      </w:r>
      <w:r>
        <w:t xml:space="preserve">musi być dokonane do dnia 31 stycznia 2024 r.”</w:t>
      </w:r>
    </w:p>
    <w:p w14:paraId="717F87AE" w14:textId="77777777" w:rsidR="00E91F8B" w:rsidRDefault="00E91F8B" w:rsidP="005777D3">
      <w:pPr>
        <w:jc w:val="both"/>
      </w:pPr>
    </w:p>
    <w:p w14:paraId="44851160" w14:textId="00604E87" w:rsidR="00E91F8B" w:rsidRDefault="00DC56BA" w:rsidP="00E91F8B">
      <w:pPr>
        <w:jc w:val="center"/>
        <w:rPr>
          <w:b/>
        </w:rPr>
      </w:pPr>
      <w:r>
        <w:rPr>
          <w:b/>
        </w:rPr>
        <w:t xml:space="preserve">Artykuł 5</w:t>
      </w:r>
    </w:p>
    <w:p w14:paraId="664F8A47" w14:textId="77777777" w:rsidR="00E91F8B" w:rsidRDefault="00E91F8B" w:rsidP="00E91F8B">
      <w:pPr>
        <w:jc w:val="center"/>
        <w:rPr>
          <w:b/>
        </w:rPr>
      </w:pPr>
    </w:p>
    <w:p w14:paraId="1478B73D" w14:textId="09EACD72" w:rsidR="00E91F8B" w:rsidRPr="00E91F8B" w:rsidRDefault="00E91F8B" w:rsidP="00E91F8B">
      <w:pPr>
        <w:jc w:val="both"/>
      </w:pPr>
      <w:r>
        <w:t xml:space="preserve">W ustawie o niepaleniu dodaje się art. 8/B w brzmieniu:</w:t>
      </w:r>
    </w:p>
    <w:p w14:paraId="67B84AC8" w14:textId="77777777" w:rsidR="00DB125E" w:rsidRPr="00E91F8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084A7AE2" w14:textId="4761C864" w:rsidR="00E91F8B" w:rsidRDefault="00E91F8B" w:rsidP="00E91F8B">
      <w:pPr>
        <w:suppressAutoHyphens/>
        <w:jc w:val="both"/>
      </w:pPr>
      <w:r>
        <w:t xml:space="preserve">„Art. 8/B Następujące artykuły ustanowione ustawą … z 2023 r. zmieniającą ustawę XLII z 1999 r. o ochronie osób niepalących oraz niektóre przepisy dotyczące konsumpcji i dystrybucji wyrobów tytoniowych oraz ustawę CXXXIV z 2012 r. o zwalczaniu palenia wśród małoletnich oraz handlu detalicznym wyrobami tytoniowymi, wymienione poniżej, to jest art. 1 lit. s), t) i z), art. 7/C, art. 7/D ust. 1, 3, 5 i 6,</w:t>
      </w:r>
      <w:r>
        <w:t xml:space="preserve"> </w:t>
      </w:r>
      <w:r>
        <w:t xml:space="preserve">art. 7/E ust. 1–6, art. 7/F, art. 7/G ust. 1 i 2, art. 7/H, art. 8 ust. 5 lit. a) oraz art. 10 ust. 4a niniejszego projektu ustawy, zgodnie z art. 5–7 dyrektywy Parlamentu Europejskiego i Rady (UE) 2015/1535 z dnia 9 września 2015 r. ustanawiającej procedurę udzielania informacji w dziedzinie przepisów technicznych oraz zasad dotyczących usług społeczeństwa informacyjnego, podlegały uprzedniemu zgłoszeniu.”</w:t>
      </w:r>
    </w:p>
    <w:p w14:paraId="1DD4D51B" w14:textId="77777777" w:rsidR="00F46F72" w:rsidRPr="00E91F8B" w:rsidRDefault="00F46F72" w:rsidP="00E91F8B">
      <w:pPr>
        <w:suppressAutoHyphens/>
        <w:jc w:val="both"/>
        <w:rPr>
          <w:rFonts w:eastAsia="Noto Sans CJK SC"/>
          <w:kern w:val="2"/>
        </w:rPr>
      </w:pPr>
    </w:p>
    <w:p w14:paraId="2419D499" w14:textId="0D517A46" w:rsidR="00DB125E" w:rsidRPr="00E5303B" w:rsidRDefault="00DC56BA" w:rsidP="00DB125E">
      <w:pPr>
        <w:suppressAutoHyphens/>
        <w:jc w:val="center"/>
        <w:rPr>
          <w:b/>
          <w:bCs/>
          <w:kern w:val="2"/>
          <w:rFonts w:eastAsia="Noto Sans CJK SC"/>
        </w:rPr>
      </w:pPr>
      <w:r>
        <w:rPr>
          <w:b/>
        </w:rPr>
        <w:t xml:space="preserve">Artykuł 6</w:t>
      </w:r>
    </w:p>
    <w:p w14:paraId="0DFDC86D" w14:textId="77777777" w:rsidR="00DB125E" w:rsidRPr="00E5303B" w:rsidRDefault="00DB125E" w:rsidP="00DB125E">
      <w:pPr>
        <w:suppressAutoHyphens/>
        <w:jc w:val="center"/>
        <w:rPr>
          <w:rFonts w:eastAsia="Noto Sans CJK SC"/>
          <w:b/>
          <w:bCs/>
          <w:kern w:val="2"/>
          <w:lang w:eastAsia="zh-CN" w:bidi="hi-IN"/>
        </w:rPr>
      </w:pPr>
    </w:p>
    <w:p w14:paraId="5BFEC514" w14:textId="77777777" w:rsidR="00DB125E" w:rsidRPr="00220B1E" w:rsidRDefault="00DB125E" w:rsidP="00DB125E">
      <w:pPr>
        <w:suppressAutoHyphens/>
        <w:jc w:val="both"/>
        <w:rPr>
          <w:kern w:val="2"/>
          <w:rFonts w:eastAsia="Noto Sans CJK SC"/>
        </w:rPr>
      </w:pPr>
      <w:r>
        <w:t xml:space="preserve">W ustawie o niepaleniu</w:t>
      </w:r>
    </w:p>
    <w:p w14:paraId="122223BC" w14:textId="072F979E" w:rsidR="00DB125E" w:rsidRPr="00330FEB" w:rsidRDefault="00153F89" w:rsidP="00DB125E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a) w art. 7/C słowa „papierosy elektroniczne” zastępuje się słowami „papierosy elektroniczne, pojemniki zapasowe, wkłady, elektroniczne urządzenia do imitacji palenia, pojemniki zapasowe bez nikotyny, wkłady bez nikotyny i substytuty palenia zawierające nikotynę”;</w:t>
      </w:r>
    </w:p>
    <w:p w14:paraId="42C19F9D" w14:textId="47D845C4" w:rsidR="00DB125E" w:rsidRPr="00D55D42" w:rsidRDefault="00153F89" w:rsidP="00DB125E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b) w art. 7/E ust. 1–5 słowa „papierosy elektroniczne i pojemniki zapasowe” zastępuje się słowami „papierosy elektroniczne, pojemniki zapasowe, wkłady, elektroniczne urządzenia do imitacji palenia, pojemniki zapasowe bez nikotyny, wkłady bez nikotyny i substytuty palenia zawierające nikotynę”;</w:t>
      </w:r>
    </w:p>
    <w:p w14:paraId="19152C58" w14:textId="4EF940FA" w:rsidR="00DB125E" w:rsidRPr="00D55D42" w:rsidRDefault="00153F89" w:rsidP="00DB125E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c) w art. 7/E ust. 6 słowa „papierosy elektroniczne lub pojemniki zapasowe” zastępuje się słowami „papierosy elektroniczne, pojemniki zapasowe, wkłady, elektroniczne urządzenia do imitacji palenia, pojemniki zapasowe bez nikotyny, wkłady bez nikotyny i substytuty palenia zawierające nikotynę”;</w:t>
      </w:r>
    </w:p>
    <w:p w14:paraId="5C52EB6E" w14:textId="4B3E8951" w:rsidR="00DB125E" w:rsidRPr="00D55D42" w:rsidRDefault="00153F89" w:rsidP="00DB125E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d) w art. 7/F słowa „papierosy elektroniczne i pojemniki zapasowe” zastępuje się słowami „papierosy elektroniczne, pojemniki zapasowe, wkłady, elektroniczne urządzenia do imitacji palenia, pojemniki zapasowe bez nikotyny, wkłady bez nikotyny i substytuty palenia zawierające nikotynę”;</w:t>
      </w:r>
    </w:p>
    <w:p w14:paraId="741ED564" w14:textId="3926C1BE" w:rsidR="00DB125E" w:rsidRPr="00D55D42" w:rsidRDefault="00153F89" w:rsidP="00DB125E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e) w art. 7/G ust. 1 słowa „papierosy elektroniczne lub pojemniki zapasowe” zastępuje się słowami „papierosy elektroniczne, pojemniki zapasowe, wkłady, elektroniczne urządzenia do imitacji palenia, pojemniki zapasowe bez nikotyny, wkłady bez nikotyny i substytuty palenia zawierające nikotynę”;</w:t>
      </w:r>
    </w:p>
    <w:p w14:paraId="5DED55E3" w14:textId="1EE35D48" w:rsidR="00DB125E" w:rsidRPr="00673F64" w:rsidRDefault="00153F89" w:rsidP="00DB125E">
      <w:pPr>
        <w:pStyle w:val="BodyText"/>
        <w:spacing w:after="0" w:line="240" w:lineRule="auto"/>
        <w:jc w:val="both"/>
      </w:pPr>
      <w:r>
        <w:rPr>
          <w:rFonts w:ascii="Times New Roman" w:hAnsi="Times New Roman"/>
        </w:rPr>
        <w:t xml:space="preserve">f) w art. 7/G ust. 2 słowa „papierosy elektroniczne i pojemniki zapasowe” zastępuje się słowami „papierosy elektroniczne, pojemniki zapasowe, wkłady, elektroniczne urządzenia do imitacji palenia, pojemniki zapasowe bez nikotyny, wkłady bez nikotyny i substytuty palenia zawierające nikotynę”;</w:t>
      </w:r>
    </w:p>
    <w:p w14:paraId="7504C957" w14:textId="137E6308" w:rsidR="00DB125E" w:rsidRPr="00673F64" w:rsidRDefault="00153F89" w:rsidP="00DB125E">
      <w:pPr>
        <w:pStyle w:val="BodyText"/>
        <w:spacing w:after="0" w:line="240" w:lineRule="auto"/>
        <w:jc w:val="both"/>
      </w:pPr>
      <w:r>
        <w:rPr>
          <w:rFonts w:ascii="Times New Roman" w:hAnsi="Times New Roman"/>
        </w:rPr>
        <w:t xml:space="preserve">g) w art. 7/H słowa „papierosy elektroniczne i elektroniczne urządzenia do imitacji palenia” zastępuje się słowami „papierosy elektroniczne, pojemniki zapasowe, wkłady, elektroniczne urządzenia do imitacji palenia, pojemniki zapasowe bez nikotyny, wkłady bez nikotyny i substytuty palenia zawierające nikotynę”.</w:t>
      </w:r>
      <w:r>
        <w:rPr>
          <w:rFonts w:ascii="Times New Roman" w:hAnsi="Times New Roman"/>
        </w:rPr>
        <w:t xml:space="preserve">  </w:t>
      </w:r>
    </w:p>
    <w:p w14:paraId="7B117976" w14:textId="6C5DAC8A" w:rsidR="00AD4247" w:rsidRPr="00206271" w:rsidRDefault="00AD4247" w:rsidP="00DB125E">
      <w:pPr>
        <w:suppressAutoHyphens/>
        <w:jc w:val="both"/>
        <w:rPr>
          <w:rFonts w:eastAsia="Noto Sans CJK SC"/>
          <w:kern w:val="2"/>
        </w:rPr>
      </w:pPr>
    </w:p>
    <w:p w14:paraId="31D8C477" w14:textId="77777777" w:rsidR="00DB125E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63F5E34B" w14:textId="09CC9006" w:rsidR="00DB125E" w:rsidRPr="00D55D42" w:rsidRDefault="00DC56BA" w:rsidP="00DB125E">
      <w:pPr>
        <w:suppressAutoHyphens/>
        <w:jc w:val="center"/>
        <w:rPr>
          <w:b/>
          <w:kern w:val="2"/>
          <w:rFonts w:eastAsia="Noto Sans CJK SC"/>
        </w:rPr>
      </w:pPr>
      <w:r>
        <w:rPr>
          <w:b/>
        </w:rPr>
        <w:t xml:space="preserve">Artykuł 7</w:t>
      </w:r>
    </w:p>
    <w:p w14:paraId="6B1D9AD2" w14:textId="77777777" w:rsidR="00DB125E" w:rsidRDefault="00DB125E" w:rsidP="00DB125E">
      <w:pPr>
        <w:suppressAutoHyphens/>
        <w:jc w:val="center"/>
        <w:rPr>
          <w:rFonts w:eastAsia="Noto Sans CJK SC"/>
          <w:kern w:val="2"/>
          <w:lang w:eastAsia="zh-CN" w:bidi="hi-IN"/>
        </w:rPr>
      </w:pPr>
    </w:p>
    <w:p w14:paraId="69C95DAD" w14:textId="00089198" w:rsidR="00DB125E" w:rsidRDefault="00DB125E" w:rsidP="00DB125E">
      <w:pPr>
        <w:suppressAutoHyphens/>
        <w:jc w:val="both"/>
        <w:rPr>
          <w:kern w:val="2"/>
          <w:rFonts w:eastAsia="Noto Sans CJK SC"/>
        </w:rPr>
      </w:pPr>
      <w:r>
        <w:t xml:space="preserve"> </w:t>
      </w:r>
      <w:r>
        <w:t xml:space="preserve">Uchyla się art. 7/I ustawy o niepaleniu.</w:t>
      </w:r>
    </w:p>
    <w:p w14:paraId="63C6352E" w14:textId="441D5254" w:rsidR="00396C85" w:rsidRDefault="00396C85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33EC2E38" w14:textId="06B5DBAF" w:rsidR="00396C85" w:rsidRDefault="00396C85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09B98B0A" w14:textId="59AFB0A9" w:rsidR="00396C85" w:rsidRPr="00153F89" w:rsidRDefault="00396C85" w:rsidP="00153F89">
      <w:pPr>
        <w:suppressAutoHyphens/>
        <w:jc w:val="center"/>
        <w:rPr>
          <w:b/>
          <w:kern w:val="2"/>
          <w:rFonts w:eastAsia="Noto Sans CJK SC"/>
        </w:rPr>
      </w:pPr>
      <w:r>
        <w:rPr>
          <w:b/>
        </w:rPr>
        <w:t xml:space="preserve">2.</w:t>
      </w:r>
      <w:r>
        <w:rPr>
          <w:b/>
        </w:rPr>
        <w:t xml:space="preserve"> </w:t>
      </w:r>
      <w:r>
        <w:rPr>
          <w:b/>
        </w:rPr>
        <w:t xml:space="preserve">Zmiana ustawy CXXXIV z 2012 r. o zwalczaniu palenia wśród małoletnich oraz handlu detalicznym wyrobami tytoniowymi</w:t>
      </w:r>
    </w:p>
    <w:p w14:paraId="1908A397" w14:textId="7B789F09" w:rsidR="00396C85" w:rsidRDefault="00396C85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4CC534DD" w14:textId="24BAC365" w:rsidR="006802D9" w:rsidRDefault="00DC56BA" w:rsidP="006802D9">
      <w:pPr>
        <w:suppressAutoHyphens/>
        <w:jc w:val="center"/>
        <w:rPr>
          <w:b/>
          <w:kern w:val="2"/>
          <w:rFonts w:eastAsia="Noto Sans CJK SC"/>
        </w:rPr>
      </w:pPr>
      <w:r>
        <w:rPr>
          <w:b/>
        </w:rPr>
        <w:t xml:space="preserve">Artykuł 8</w:t>
      </w:r>
    </w:p>
    <w:p w14:paraId="0CFD6C4A" w14:textId="77777777" w:rsidR="006802D9" w:rsidRDefault="006802D9" w:rsidP="006802D9">
      <w:pPr>
        <w:suppressAutoHyphens/>
        <w:jc w:val="center"/>
      </w:pPr>
    </w:p>
    <w:p w14:paraId="2F519D6D" w14:textId="7C6EFEEE" w:rsidR="006802D9" w:rsidRDefault="006802D9" w:rsidP="006802D9">
      <w:pPr>
        <w:suppressAutoHyphens/>
        <w:jc w:val="both"/>
      </w:pPr>
      <w:r>
        <w:t xml:space="preserve">W ustawie CXXXIV z 2012 r. o zwalczaniu palenia wśród małoletnich oraz handlu detalicznym wyrobami tytoniowymi (dalej:</w:t>
      </w:r>
      <w:r>
        <w:t xml:space="preserve"> </w:t>
      </w:r>
      <w:r>
        <w:t xml:space="preserve">Ustawa o zwalczaniu palenia wśród małoletnich) w art. 28 dodaje się ust. 4 w brzmieniu:</w:t>
      </w:r>
    </w:p>
    <w:p w14:paraId="71301D22" w14:textId="77777777" w:rsidR="006802D9" w:rsidRDefault="006802D9" w:rsidP="006802D9">
      <w:pPr>
        <w:suppressAutoHyphens/>
        <w:jc w:val="both"/>
        <w:rPr>
          <w:rFonts w:eastAsia="Noto Sans CJK SC"/>
          <w:b/>
          <w:kern w:val="2"/>
          <w:lang w:eastAsia="zh-CN" w:bidi="hi-IN"/>
        </w:rPr>
      </w:pPr>
    </w:p>
    <w:p w14:paraId="5F246645" w14:textId="07BDD953" w:rsidR="006802D9" w:rsidRPr="00E91F8B" w:rsidRDefault="006802D9" w:rsidP="006802D9">
      <w:pPr>
        <w:suppressAutoHyphens/>
        <w:jc w:val="both"/>
        <w:rPr>
          <w:kern w:val="2"/>
          <w:rFonts w:eastAsia="Noto Sans CJK SC"/>
        </w:rPr>
      </w:pPr>
      <w:r>
        <w:t xml:space="preserve">„4.</w:t>
      </w:r>
      <w:r>
        <w:t xml:space="preserve"> </w:t>
      </w:r>
      <w:r>
        <w:t xml:space="preserve">Projekt art. 1 ust. 1 lit. e) i art. 3 ust. 2 lit. e), ustanowiony ustawą … z 2023 r. zmieniającą ustawę XLII z 1999 r. o ochronie osób niepalących oraz niektóre przepisy dotyczące konsumpcji i dystrybucji wyrobów tytoniowych oraz ustawę CXXXIV z 2012 r. o zwalczaniu palenia wśród małoletnich oraz handlu detalicznym wyrobami tytoniowymi, podlegał uprzedniemu zgłoszeniu, zgodnie z art. 5–7 dyrektywy Parlamentu Europejskiego i Rady (UE) 2015/1535 z dnia 9 września 2015 r. ustanawiającej procedurę udzielania informacji w dziedzinie przepisów technicznych oraz zasad dotyczących usług społeczeństwa informacyjnego.”</w:t>
      </w:r>
    </w:p>
    <w:p w14:paraId="0CD8ED42" w14:textId="77777777" w:rsidR="006802D9" w:rsidRDefault="006802D9" w:rsidP="006802D9">
      <w:pPr>
        <w:suppressAutoHyphens/>
        <w:jc w:val="center"/>
        <w:rPr>
          <w:rFonts w:eastAsia="Noto Sans CJK SC"/>
          <w:b/>
          <w:kern w:val="2"/>
          <w:lang w:eastAsia="zh-CN" w:bidi="hi-IN"/>
        </w:rPr>
      </w:pPr>
    </w:p>
    <w:p w14:paraId="69112F5E" w14:textId="0F9E35C3" w:rsidR="006802D9" w:rsidRDefault="00DC56BA" w:rsidP="006802D9">
      <w:pPr>
        <w:suppressAutoHyphens/>
        <w:jc w:val="center"/>
        <w:rPr>
          <w:b/>
          <w:kern w:val="2"/>
          <w:rFonts w:eastAsia="Noto Sans CJK SC"/>
        </w:rPr>
      </w:pPr>
      <w:r>
        <w:rPr>
          <w:b/>
        </w:rPr>
        <w:t xml:space="preserve">Artykuł 9</w:t>
      </w:r>
    </w:p>
    <w:p w14:paraId="2586615B" w14:textId="77777777" w:rsidR="006802D9" w:rsidRPr="006802D9" w:rsidRDefault="006802D9" w:rsidP="006802D9">
      <w:pPr>
        <w:suppressAutoHyphens/>
        <w:jc w:val="center"/>
        <w:rPr>
          <w:rFonts w:eastAsia="Noto Sans CJK SC"/>
          <w:b/>
          <w:kern w:val="2"/>
          <w:lang w:eastAsia="zh-CN" w:bidi="hi-IN"/>
        </w:rPr>
      </w:pPr>
    </w:p>
    <w:p w14:paraId="012E5D30" w14:textId="1946FFE6" w:rsidR="00396C85" w:rsidRDefault="00402174" w:rsidP="00153F89">
      <w:pPr>
        <w:jc w:val="both"/>
      </w:pPr>
      <w:r>
        <w:t xml:space="preserve">W art. 1 ust. 1 lit. </w:t>
      </w:r>
      <w:r>
        <w:rPr>
          <w:i/>
        </w:rPr>
        <w:t xml:space="preserve">e)</w:t>
      </w:r>
      <w:r>
        <w:t xml:space="preserve"> oraz w art. 3 ust. 2 lit. </w:t>
      </w:r>
      <w:r>
        <w:rPr>
          <w:i/>
        </w:rPr>
        <w:t xml:space="preserve">e)</w:t>
      </w:r>
      <w:r>
        <w:t xml:space="preserve"> ustawy o zwalczaniu palenia wśród małoletnich słowa „pojemniki zapasowe bez nikotyny” zastępuje się słowami „pojemniki zapasowe bez nikotyny, wkłady bez nikotyny,”.</w:t>
      </w:r>
    </w:p>
    <w:p w14:paraId="5D7A0B89" w14:textId="77777777" w:rsidR="00396C85" w:rsidRDefault="00396C85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22C61ABF" w14:textId="24FCE190" w:rsidR="008848B7" w:rsidRDefault="008848B7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1466126E" w14:textId="15A9380C" w:rsidR="008848B7" w:rsidRPr="00153F89" w:rsidRDefault="005F4FA3" w:rsidP="00153F89">
      <w:pPr>
        <w:suppressAutoHyphens/>
        <w:jc w:val="center"/>
        <w:rPr>
          <w:b/>
          <w:kern w:val="2"/>
          <w:rFonts w:eastAsia="Noto Sans CJK SC"/>
        </w:rPr>
      </w:pPr>
      <w:r>
        <w:rPr>
          <w:b/>
        </w:rPr>
        <w:t xml:space="preserve">3.</w:t>
      </w:r>
      <w:r>
        <w:rPr>
          <w:b/>
        </w:rPr>
        <w:t xml:space="preserve"> </w:t>
      </w:r>
      <w:r>
        <w:rPr>
          <w:b/>
        </w:rPr>
        <w:t xml:space="preserve">Postanowienia końcowe</w:t>
      </w:r>
    </w:p>
    <w:p w14:paraId="163CB994" w14:textId="30D9ABEE" w:rsidR="008848B7" w:rsidRDefault="008848B7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29A59FA1" w14:textId="53D3DD9D" w:rsidR="008246FC" w:rsidRDefault="00DC56BA" w:rsidP="008246FC">
      <w:pPr>
        <w:suppressAutoHyphens/>
        <w:jc w:val="center"/>
        <w:rPr>
          <w:b/>
          <w:kern w:val="2"/>
          <w:rFonts w:eastAsia="Noto Sans CJK SC"/>
        </w:rPr>
      </w:pPr>
      <w:r>
        <w:rPr>
          <w:b/>
        </w:rPr>
        <w:t xml:space="preserve">Artykuł 10</w:t>
      </w:r>
    </w:p>
    <w:p w14:paraId="2974E0DE" w14:textId="77777777" w:rsidR="00741559" w:rsidRPr="008246FC" w:rsidRDefault="00741559" w:rsidP="008246FC">
      <w:pPr>
        <w:suppressAutoHyphens/>
        <w:jc w:val="center"/>
        <w:rPr>
          <w:rFonts w:eastAsia="Noto Sans CJK SC"/>
          <w:b/>
          <w:kern w:val="2"/>
          <w:lang w:eastAsia="zh-CN" w:bidi="hi-IN"/>
        </w:rPr>
      </w:pPr>
    </w:p>
    <w:p w14:paraId="478AF8B4" w14:textId="27448AA5" w:rsidR="008246FC" w:rsidRDefault="008246FC" w:rsidP="004049B2">
      <w:pPr>
        <w:pStyle w:val="ListParagraph"/>
        <w:suppressAutoHyphens/>
        <w:ind w:left="0"/>
        <w:jc w:val="both"/>
        <w:rPr>
          <w:kern w:val="2"/>
          <w:rFonts w:eastAsia="Noto Sans CJK SC"/>
        </w:rPr>
      </w:pPr>
      <w:r>
        <w:t xml:space="preserve">Ustawa wchodzi w życie z dniem 1 listopada 2023 r.</w:t>
      </w:r>
    </w:p>
    <w:p w14:paraId="6B8F11CF" w14:textId="77777777" w:rsidR="00020F6A" w:rsidRDefault="00020F6A" w:rsidP="004049B2">
      <w:pPr>
        <w:pStyle w:val="ListParagraph"/>
        <w:suppressAutoHyphens/>
        <w:ind w:left="0"/>
        <w:jc w:val="both"/>
        <w:rPr>
          <w:rFonts w:eastAsia="Noto Sans CJK SC"/>
          <w:kern w:val="2"/>
          <w:lang w:eastAsia="zh-CN" w:bidi="hi-IN"/>
        </w:rPr>
      </w:pPr>
    </w:p>
    <w:p w14:paraId="7FC9F906" w14:textId="02636919" w:rsidR="00704C1F" w:rsidRDefault="00704C1F"/>
    <w:p w14:paraId="315EA5DC" w14:textId="41BBEEA0" w:rsidR="00E91F8B" w:rsidRPr="00E91F8B" w:rsidRDefault="006802D9" w:rsidP="00E91F8B">
      <w:pPr>
        <w:jc w:val="center"/>
        <w:rPr>
          <w:b/>
        </w:rPr>
      </w:pPr>
      <w:r>
        <w:rPr>
          <w:b/>
        </w:rPr>
        <w:t xml:space="preserve">Artykuł 11</w:t>
      </w:r>
    </w:p>
    <w:p w14:paraId="7BC9C63E" w14:textId="77777777" w:rsidR="00E91F8B" w:rsidRDefault="00E91F8B" w:rsidP="00E91F8B">
      <w:pPr>
        <w:jc w:val="center"/>
      </w:pPr>
    </w:p>
    <w:p w14:paraId="50C1AEE0" w14:textId="45A9E010" w:rsidR="00E91F8B" w:rsidRDefault="00E91F8B" w:rsidP="00E91F8B">
      <w:pPr>
        <w:jc w:val="both"/>
        <w:rPr>
          <w:kern w:val="2"/>
          <w:rFonts w:eastAsia="Noto Sans CJK SC"/>
        </w:rPr>
      </w:pPr>
      <w:r>
        <w:t xml:space="preserve">Spełniono wymóg dotyczący powiadomienia o przedmiotowym projekcie ustawy zgodnie z art. 5–7 dyrektywy (UE) 2015/1535 Parlamentu Europejskiego i Rady z dnia 9 września 2015 r. ustanawiającej procedurę udzielania informacji w dziedzinie przepisów technicznych oraz zasad dotyczących usług społeczeństwa informacyjnego.</w:t>
      </w:r>
    </w:p>
    <w:p w14:paraId="34D6B5FF" w14:textId="77777777" w:rsidR="00704C1F" w:rsidRDefault="00704C1F"/>
    <w:sectPr w:rsidR="0070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E05"/>
    <w:multiLevelType w:val="hybridMultilevel"/>
    <w:tmpl w:val="B6D2390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4B9B"/>
    <w:multiLevelType w:val="hybridMultilevel"/>
    <w:tmpl w:val="9AD43B9C"/>
    <w:lvl w:ilvl="0" w:tplc="21BCA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82103A"/>
    <w:multiLevelType w:val="hybridMultilevel"/>
    <w:tmpl w:val="2D6256B8"/>
    <w:lvl w:ilvl="0" w:tplc="07768FE0">
      <w:start w:val="1"/>
      <w:numFmt w:val="lowerLetter"/>
      <w:lvlText w:val="%1)"/>
      <w:lvlJc w:val="left"/>
      <w:pPr>
        <w:ind w:left="1065" w:hanging="705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5200">
    <w:abstractNumId w:val="1"/>
  </w:num>
  <w:num w:numId="2" w16cid:durableId="1039553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07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11"/>
    <w:rsid w:val="00003480"/>
    <w:rsid w:val="00020F6A"/>
    <w:rsid w:val="000622EF"/>
    <w:rsid w:val="000B2D67"/>
    <w:rsid w:val="000D2A11"/>
    <w:rsid w:val="001124F5"/>
    <w:rsid w:val="00153F89"/>
    <w:rsid w:val="00156D3E"/>
    <w:rsid w:val="00193FD6"/>
    <w:rsid w:val="001F588D"/>
    <w:rsid w:val="00237063"/>
    <w:rsid w:val="002D6BBD"/>
    <w:rsid w:val="00333428"/>
    <w:rsid w:val="00396C85"/>
    <w:rsid w:val="003A401D"/>
    <w:rsid w:val="00402174"/>
    <w:rsid w:val="004049B2"/>
    <w:rsid w:val="004947EA"/>
    <w:rsid w:val="00521434"/>
    <w:rsid w:val="00531A08"/>
    <w:rsid w:val="005777D3"/>
    <w:rsid w:val="00593AE9"/>
    <w:rsid w:val="005A2187"/>
    <w:rsid w:val="005C77CD"/>
    <w:rsid w:val="005F4FA3"/>
    <w:rsid w:val="00623454"/>
    <w:rsid w:val="006802D9"/>
    <w:rsid w:val="00704C1F"/>
    <w:rsid w:val="00741559"/>
    <w:rsid w:val="007A1FAA"/>
    <w:rsid w:val="008246FC"/>
    <w:rsid w:val="00827692"/>
    <w:rsid w:val="00835734"/>
    <w:rsid w:val="008848B7"/>
    <w:rsid w:val="008B7648"/>
    <w:rsid w:val="009002BA"/>
    <w:rsid w:val="00913058"/>
    <w:rsid w:val="009F216A"/>
    <w:rsid w:val="00AD4247"/>
    <w:rsid w:val="00AF7221"/>
    <w:rsid w:val="00B353AA"/>
    <w:rsid w:val="00B771CC"/>
    <w:rsid w:val="00C124B9"/>
    <w:rsid w:val="00C54A0E"/>
    <w:rsid w:val="00CC4E66"/>
    <w:rsid w:val="00D524FF"/>
    <w:rsid w:val="00DB125E"/>
    <w:rsid w:val="00DC56BA"/>
    <w:rsid w:val="00E54C14"/>
    <w:rsid w:val="00E91F8B"/>
    <w:rsid w:val="00F220C3"/>
    <w:rsid w:val="00F260A9"/>
    <w:rsid w:val="00F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79F0"/>
  <w15:docId w15:val="{A62FC256-44D0-4473-BEEF-349E02F5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125E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DB125E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styleId="CommentReference">
    <w:name w:val="annotation reference"/>
    <w:uiPriority w:val="99"/>
    <w:unhideWhenUsed/>
    <w:rsid w:val="00DB125E"/>
    <w:rPr>
      <w:sz w:val="16"/>
      <w:szCs w:val="16"/>
    </w:rPr>
  </w:style>
  <w:style w:type="paragraph" w:styleId="CommentText">
    <w:name w:val="annotation text"/>
    <w:aliases w:val="Char,Comment Text Char"/>
    <w:basedOn w:val="Normal"/>
    <w:link w:val="CommentTextChar1"/>
    <w:uiPriority w:val="99"/>
    <w:unhideWhenUsed/>
    <w:qFormat/>
    <w:rsid w:val="00DB125E"/>
    <w:pPr>
      <w:spacing w:after="200"/>
    </w:pPr>
    <w:rPr>
      <w:rFonts w:ascii="Calibri" w:eastAsia="Calibri" w:hAnsi="Calibri"/>
      <w:sz w:val="20"/>
      <w:szCs w:val="20"/>
      <w:lang w:eastAsia="x-none"/>
    </w:rPr>
  </w:style>
  <w:style w:type="character" w:customStyle="1" w:styleId="CommentTextChar1">
    <w:name w:val="Comment Text Char1"/>
    <w:aliases w:val="Char Char,Comment Text Char Char"/>
    <w:basedOn w:val="DefaultParagraphFont"/>
    <w:link w:val="CommentText"/>
    <w:uiPriority w:val="99"/>
    <w:qFormat/>
    <w:rsid w:val="00DB125E"/>
    <w:rPr>
      <w:rFonts w:ascii="Calibri" w:eastAsia="Calibri" w:hAnsi="Calibri" w:cs="Times New Roman"/>
      <w:sz w:val="20"/>
      <w:szCs w:val="20"/>
      <w:lang w:val="pl-PL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2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5E"/>
    <w:rPr>
      <w:rFonts w:ascii="Segoe UI" w:eastAsia="Times New Roman" w:hAnsi="Segoe UI" w:cs="Segoe UI"/>
      <w:sz w:val="18"/>
      <w:szCs w:val="18"/>
      <w:lang w:eastAsia="hu-HU"/>
    </w:rPr>
  </w:style>
  <w:style w:type="paragraph" w:styleId="ListParagraph">
    <w:name w:val="List Paragraph"/>
    <w:basedOn w:val="Normal"/>
    <w:uiPriority w:val="34"/>
    <w:qFormat/>
    <w:rsid w:val="008246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A1FA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BBD"/>
    <w:pPr>
      <w:spacing w:after="0"/>
    </w:pPr>
    <w:rPr>
      <w:rFonts w:ascii="Times New Roman" w:eastAsia="Times New Roman" w:hAnsi="Times New Roman"/>
      <w:b/>
      <w:bCs/>
      <w:lang w:eastAsia="hu-HU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2D6BBD"/>
    <w:rPr>
      <w:rFonts w:ascii="Times New Roman" w:eastAsia="Times New Roman" w:hAnsi="Times New Roman" w:cs="Times New Roman"/>
      <w:b/>
      <w:bCs/>
      <w:sz w:val="20"/>
      <w:szCs w:val="20"/>
      <w:lang w:val="pl-PL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DE22-5A29-45DC-B5E5-077A39BB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Nádasdy-Horváth Benedek dr.</dc:creator>
  <cp:keywords/>
  <dc:description/>
  <cp:lastModifiedBy>Dimitris Dimitriadis</cp:lastModifiedBy>
  <cp:revision>3</cp:revision>
  <cp:lastPrinted>2023-03-28T12:44:00Z</cp:lastPrinted>
  <dcterms:created xsi:type="dcterms:W3CDTF">2023-04-11T08:39:00Z</dcterms:created>
  <dcterms:modified xsi:type="dcterms:W3CDTF">2023-04-17T07:18:00Z</dcterms:modified>
</cp:coreProperties>
</file>