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CellMar>
          <w:left w:w="70" w:type="dxa"/>
          <w:right w:w="70" w:type="dxa"/>
        </w:tblCellMar>
        <w:tblLook w:val="0000" w:firstRow="0" w:lastRow="0" w:firstColumn="0" w:lastColumn="0" w:noHBand="0" w:noVBand="0"/>
      </w:tblPr>
      <w:tblGrid>
        <w:gridCol w:w="9212"/>
      </w:tblGrid>
      <w:tr w:rsidR="00117CA0" w:rsidRPr="00F43929" w14:paraId="3457F12B" w14:textId="77777777" w:rsidTr="00117CA0">
        <w:tc>
          <w:tcPr>
            <w:tcW w:w="9212" w:type="dxa"/>
          </w:tcPr>
          <w:p w14:paraId="7510A492" w14:textId="77777777" w:rsidR="00117CA0" w:rsidRPr="00F43929" w:rsidRDefault="00117CA0" w:rsidP="002D0553">
            <w:pPr>
              <w:jc w:val="center"/>
              <w:rPr>
                <w:caps/>
                <w:sz w:val="20"/>
                <w:szCs w:val="20"/>
              </w:rPr>
            </w:pPr>
            <w:r>
              <w:rPr>
                <w:caps/>
                <w:sz w:val="20"/>
              </w:rPr>
              <w:t xml:space="preserve">DRAFT</w:t>
            </w:r>
          </w:p>
          <w:p w14:paraId="1A867C36" w14:textId="77777777" w:rsidR="00117CA0" w:rsidRPr="00F43929" w:rsidRDefault="00117CA0" w:rsidP="002D0553">
            <w:pPr>
              <w:jc w:val="center"/>
              <w:rPr>
                <w:caps/>
                <w:sz w:val="20"/>
                <w:szCs w:val="20"/>
                <w:lang w:val="nl-NL"/>
              </w:rPr>
            </w:pPr>
          </w:p>
        </w:tc>
      </w:tr>
      <w:tr w:rsidR="00117CA0" w14:paraId="607435A1" w14:textId="77777777" w:rsidTr="00117CA0">
        <w:tc>
          <w:tcPr>
            <w:tcW w:w="9212" w:type="dxa"/>
          </w:tcPr>
          <w:p w14:paraId="2CCBD863" w14:textId="77777777" w:rsidR="00117CA0" w:rsidRDefault="00117CA0" w:rsidP="002D0553">
            <w:pPr>
              <w:jc w:val="center"/>
              <w:rPr>
                <w:b/>
                <w:caps/>
              </w:rPr>
            </w:pPr>
            <w:r>
              <w:rPr>
                <w:b/>
                <w:caps/>
              </w:rPr>
              <w:t xml:space="preserve">KINGDOM OF Belgium</w:t>
            </w:r>
          </w:p>
          <w:p w14:paraId="233918AC" w14:textId="77777777" w:rsidR="00117CA0" w:rsidRDefault="00117CA0" w:rsidP="002D0553">
            <w:pPr>
              <w:jc w:val="center"/>
              <w:rPr>
                <w:b/>
                <w:caps/>
                <w:lang w:val="nl-NL"/>
              </w:rPr>
            </w:pPr>
          </w:p>
        </w:tc>
      </w:tr>
      <w:tr w:rsidR="00117CA0" w14:paraId="2DD44B9E" w14:textId="77777777" w:rsidTr="00117CA0">
        <w:tc>
          <w:tcPr>
            <w:tcW w:w="9212" w:type="dxa"/>
          </w:tcPr>
          <w:p w14:paraId="653A55B3" w14:textId="77777777" w:rsidR="00117CA0" w:rsidRDefault="00117CA0" w:rsidP="002D0553">
            <w:pPr>
              <w:jc w:val="center"/>
              <w:rPr>
                <w:b/>
                <w:caps/>
              </w:rPr>
            </w:pPr>
            <w:r>
              <w:rPr>
                <w:b/>
                <w:caps/>
              </w:rPr>
              <w:t xml:space="preserve">FEDERAL PUBLIC SERVICE</w:t>
            </w:r>
            <w:r>
              <w:rPr>
                <w:b/>
                <w:caps/>
              </w:rPr>
              <w:t xml:space="preserve"> </w:t>
            </w:r>
          </w:p>
          <w:p w14:paraId="09BE4B59" w14:textId="15BA9F94" w:rsidR="00117CA0" w:rsidRDefault="00117CA0" w:rsidP="002D0553">
            <w:pPr>
              <w:jc w:val="center"/>
              <w:rPr>
                <w:b/>
                <w:caps/>
              </w:rPr>
            </w:pPr>
            <w:r>
              <w:rPr>
                <w:b/>
                <w:caps/>
              </w:rPr>
              <w:t xml:space="preserve">Public Health, Food Chain Safety and the Environment</w:t>
            </w:r>
          </w:p>
          <w:p w14:paraId="56D7BF57" w14:textId="735E7513" w:rsidR="00311A4F" w:rsidRDefault="00311A4F" w:rsidP="002D0553">
            <w:pPr>
              <w:jc w:val="center"/>
              <w:rPr>
                <w:b/>
                <w:sz w:val="27"/>
                <w:lang w:val="nl-BE"/>
              </w:rPr>
            </w:pPr>
          </w:p>
        </w:tc>
      </w:tr>
      <w:tr w:rsidR="00117CA0" w:rsidRPr="004F1A74" w14:paraId="5DE349D1" w14:textId="77777777" w:rsidTr="00117CA0">
        <w:tc>
          <w:tcPr>
            <w:tcW w:w="9212" w:type="dxa"/>
          </w:tcPr>
          <w:p w14:paraId="4465AC2A" w14:textId="77777777" w:rsidR="00117CA0" w:rsidRDefault="00117CA0" w:rsidP="00CF24A1">
            <w:pPr>
              <w:pStyle w:val="Heading3"/>
              <w:jc w:val="center"/>
            </w:pPr>
            <w:r>
              <w:t xml:space="preserve">Royal Decree prohibiting the export of certain hazardous substances to non-EU countries</w:t>
            </w:r>
          </w:p>
          <w:p w14:paraId="0B8A90D7" w14:textId="0ED6F00C" w:rsidR="00117CA0" w:rsidRPr="00150055" w:rsidRDefault="00117CA0" w:rsidP="00CF24A1">
            <w:pPr>
              <w:pStyle w:val="Heading3"/>
              <w:jc w:val="center"/>
              <w:rPr>
                <w:lang w:val="fr-BE"/>
              </w:rPr>
            </w:pPr>
          </w:p>
        </w:tc>
      </w:tr>
      <w:tr w:rsidR="00117CA0" w14:paraId="05A8ED18" w14:textId="77777777" w:rsidTr="00117CA0">
        <w:tc>
          <w:tcPr>
            <w:tcW w:w="9212" w:type="dxa"/>
          </w:tcPr>
          <w:p w14:paraId="7393BC3A" w14:textId="77777777" w:rsidR="00117CA0" w:rsidRDefault="00117CA0" w:rsidP="002D0553">
            <w:pPr>
              <w:jc w:val="both"/>
            </w:pPr>
            <w:r>
              <w:t xml:space="preserve">PHILIPPE, King of the Belgians,</w:t>
            </w:r>
          </w:p>
        </w:tc>
      </w:tr>
      <w:tr w:rsidR="00117CA0" w14:paraId="54539E52" w14:textId="77777777" w:rsidTr="00117CA0">
        <w:tc>
          <w:tcPr>
            <w:tcW w:w="9212" w:type="dxa"/>
          </w:tcPr>
          <w:p w14:paraId="3C9C541D" w14:textId="77777777" w:rsidR="00117CA0" w:rsidRDefault="00117CA0" w:rsidP="002D0553">
            <w:pPr>
              <w:ind w:left="113"/>
              <w:jc w:val="both"/>
              <w:rPr>
                <w:lang w:val="fr-BE"/>
              </w:rPr>
            </w:pPr>
          </w:p>
        </w:tc>
      </w:tr>
      <w:tr w:rsidR="00117CA0" w14:paraId="10BA3A64" w14:textId="77777777" w:rsidTr="00117CA0">
        <w:tc>
          <w:tcPr>
            <w:tcW w:w="9212" w:type="dxa"/>
          </w:tcPr>
          <w:p w14:paraId="26ED9C10" w14:textId="77777777" w:rsidR="00117CA0" w:rsidRDefault="00117CA0" w:rsidP="002D0553">
            <w:pPr>
              <w:jc w:val="both"/>
              <w:rPr>
                <w:sz w:val="22"/>
              </w:rPr>
            </w:pPr>
            <w:r>
              <w:rPr>
                <w:sz w:val="22"/>
              </w:rPr>
              <w:t xml:space="preserve">To all those present and to come,</w:t>
            </w:r>
            <w:r>
              <w:rPr>
                <w:sz w:val="22"/>
              </w:rPr>
              <w:t xml:space="preserve"> </w:t>
            </w:r>
          </w:p>
          <w:p w14:paraId="0488D75A" w14:textId="77777777" w:rsidR="00117CA0" w:rsidRDefault="00117CA0" w:rsidP="002D0553">
            <w:pPr>
              <w:jc w:val="both"/>
              <w:rPr>
                <w:sz w:val="22"/>
              </w:rPr>
            </w:pPr>
            <w:r>
              <w:rPr>
                <w:sz w:val="22"/>
              </w:rPr>
              <w:t xml:space="preserve">Greetings.</w:t>
            </w:r>
            <w:r>
              <w:rPr>
                <w:sz w:val="22"/>
              </w:rPr>
              <w:t xml:space="preserve"> </w:t>
            </w:r>
          </w:p>
        </w:tc>
      </w:tr>
      <w:tr w:rsidR="00117CA0" w14:paraId="75D066E9" w14:textId="77777777" w:rsidTr="00117CA0">
        <w:tc>
          <w:tcPr>
            <w:tcW w:w="9212" w:type="dxa"/>
          </w:tcPr>
          <w:p w14:paraId="535EC5A0" w14:textId="77777777" w:rsidR="00117CA0" w:rsidRDefault="00117CA0" w:rsidP="002D0553">
            <w:pPr>
              <w:jc w:val="both"/>
              <w:rPr>
                <w:sz w:val="22"/>
                <w:lang w:val="fr-BE"/>
              </w:rPr>
            </w:pPr>
          </w:p>
        </w:tc>
      </w:tr>
      <w:tr w:rsidR="00117CA0" w:rsidRPr="004F1A74" w14:paraId="137551B3" w14:textId="77777777" w:rsidTr="00117CA0">
        <w:tc>
          <w:tcPr>
            <w:tcW w:w="9212" w:type="dxa"/>
          </w:tcPr>
          <w:p w14:paraId="5708E60A" w14:textId="77777777" w:rsidR="00117CA0" w:rsidRDefault="00117CA0" w:rsidP="002D0553">
            <w:pPr>
              <w:jc w:val="both"/>
              <w:rPr>
                <w:sz w:val="22"/>
              </w:rPr>
            </w:pPr>
            <w:r>
              <w:rPr>
                <w:sz w:val="22"/>
              </w:rPr>
              <w:t xml:space="preserve">Having regard to the Law of 21 December 1998 on product standards for the promotion of sustainable production and consumption patterns and the protection of the environment, health and workers, Article 5, §1(1)(8), as amended by the laws of 27 July 2011 and of 16 December 2015;</w:t>
            </w:r>
          </w:p>
          <w:p w14:paraId="0B6DEEF8" w14:textId="77777777" w:rsidR="00117CA0" w:rsidRDefault="00117CA0" w:rsidP="002D0553">
            <w:pPr>
              <w:jc w:val="both"/>
              <w:rPr>
                <w:sz w:val="22"/>
                <w:lang w:val="fr-BE"/>
              </w:rPr>
            </w:pPr>
          </w:p>
        </w:tc>
      </w:tr>
      <w:tr w:rsidR="00117CA0" w:rsidRPr="004F1A74" w14:paraId="2AB39D3E" w14:textId="77777777" w:rsidTr="00117CA0">
        <w:tc>
          <w:tcPr>
            <w:tcW w:w="9212" w:type="dxa"/>
          </w:tcPr>
          <w:p w14:paraId="16CBFCF2" w14:textId="77777777" w:rsidR="00117CA0" w:rsidRDefault="00117CA0" w:rsidP="002D0553">
            <w:pPr>
              <w:jc w:val="both"/>
              <w:rPr>
                <w:sz w:val="22"/>
              </w:rPr>
            </w:pPr>
            <w:r>
              <w:rPr>
                <w:sz w:val="22"/>
              </w:rPr>
              <w:t xml:space="preserve">Having regard to Regulation (EU)</w:t>
            </w:r>
            <w:r>
              <w:t xml:space="preserve"> </w:t>
            </w:r>
            <w:r>
              <w:rPr>
                <w:sz w:val="22"/>
              </w:rPr>
              <w:t xml:space="preserve">No 649/2012 of the European Parliament and of the Council of 4 July 2012 concerning the export and import of hazardous chemicals;</w:t>
            </w:r>
          </w:p>
        </w:tc>
      </w:tr>
      <w:tr w:rsidR="00117CA0" w:rsidRPr="004F1A74" w14:paraId="7D483EAA" w14:textId="77777777" w:rsidTr="00117CA0">
        <w:tc>
          <w:tcPr>
            <w:tcW w:w="9212" w:type="dxa"/>
          </w:tcPr>
          <w:p w14:paraId="47A41862" w14:textId="77777777" w:rsidR="00117CA0" w:rsidRPr="00150055" w:rsidRDefault="00117CA0" w:rsidP="002D0553">
            <w:pPr>
              <w:jc w:val="both"/>
              <w:rPr>
                <w:sz w:val="22"/>
                <w:szCs w:val="22"/>
                <w:lang w:val="fr-FR" w:eastAsia="fr-FR"/>
              </w:rPr>
            </w:pPr>
          </w:p>
        </w:tc>
      </w:tr>
      <w:tr w:rsidR="00117CA0" w:rsidRPr="004F1A74" w14:paraId="24020DB8" w14:textId="77777777" w:rsidTr="00117CA0">
        <w:tc>
          <w:tcPr>
            <w:tcW w:w="9212" w:type="dxa"/>
          </w:tcPr>
          <w:p w14:paraId="57990282" w14:textId="77777777" w:rsidR="00117CA0" w:rsidRPr="00706F30" w:rsidRDefault="00117CA0" w:rsidP="002D0553">
            <w:pPr>
              <w:jc w:val="both"/>
              <w:rPr>
                <w:sz w:val="22"/>
                <w:szCs w:val="22"/>
              </w:rPr>
            </w:pPr>
            <w:r>
              <w:rPr>
                <w:sz w:val="22"/>
              </w:rPr>
              <w:t xml:space="preserve">Having regard to Regulation (EC) No 1272/2008 of the European Parliament and of the Council of 16 December 2008 on classification, labelling and packaging of substances and mixtures, amending and repealing Directives 67/548/EEC and 1999/45/EC, and amending Regulation (EC) No 1907/2006;</w:t>
            </w:r>
          </w:p>
        </w:tc>
      </w:tr>
      <w:tr w:rsidR="00117CA0" w:rsidRPr="004F1A74" w14:paraId="724D7C30" w14:textId="77777777" w:rsidTr="00117CA0">
        <w:tc>
          <w:tcPr>
            <w:tcW w:w="9212" w:type="dxa"/>
          </w:tcPr>
          <w:p w14:paraId="7DD5132C" w14:textId="77777777" w:rsidR="00117CA0" w:rsidRPr="00706F30" w:rsidRDefault="00117CA0" w:rsidP="002D0553">
            <w:pPr>
              <w:jc w:val="both"/>
              <w:rPr>
                <w:sz w:val="22"/>
                <w:szCs w:val="22"/>
                <w:lang w:val="fr-BE" w:eastAsia="fr-FR"/>
              </w:rPr>
            </w:pPr>
          </w:p>
        </w:tc>
      </w:tr>
      <w:tr w:rsidR="00117CA0" w:rsidRPr="004F1A74" w14:paraId="1BFAF931" w14:textId="77777777" w:rsidTr="00117CA0">
        <w:tc>
          <w:tcPr>
            <w:tcW w:w="9212" w:type="dxa"/>
            <w:shd w:val="clear" w:color="auto" w:fill="auto"/>
          </w:tcPr>
          <w:p w14:paraId="65662DE1" w14:textId="185E31F7" w:rsidR="00311A4F" w:rsidRPr="00311A4F" w:rsidRDefault="00117CA0" w:rsidP="002D0553">
            <w:pPr>
              <w:jc w:val="both"/>
              <w:rPr>
                <w:sz w:val="22"/>
              </w:rPr>
            </w:pPr>
            <w:r>
              <w:rPr>
                <w:sz w:val="22"/>
              </w:rPr>
              <w:t xml:space="preserve">Having regard to Regulation (EC) No 1107/2009 of the European Parliament and of the Council of 21 October 2009, concerning the placing of plant protection products on the market and repealing Council Directives 79/117/EEC and 91/414/EEC;</w:t>
            </w:r>
          </w:p>
        </w:tc>
      </w:tr>
      <w:tr w:rsidR="00117CA0" w:rsidRPr="004F1A74" w14:paraId="7514A7C1" w14:textId="77777777" w:rsidTr="00117CA0">
        <w:tc>
          <w:tcPr>
            <w:tcW w:w="9212" w:type="dxa"/>
            <w:shd w:val="clear" w:color="auto" w:fill="auto"/>
          </w:tcPr>
          <w:p w14:paraId="06368839" w14:textId="77777777" w:rsidR="00117CA0" w:rsidRPr="0009513C" w:rsidRDefault="00117CA0" w:rsidP="002D0553">
            <w:pPr>
              <w:jc w:val="both"/>
              <w:rPr>
                <w:sz w:val="22"/>
                <w:szCs w:val="22"/>
                <w:lang w:val="fr-BE" w:eastAsia="fr-FR"/>
              </w:rPr>
            </w:pPr>
          </w:p>
        </w:tc>
      </w:tr>
      <w:tr w:rsidR="00117CA0" w:rsidRPr="004F1A74" w14:paraId="75936A8D" w14:textId="77777777" w:rsidTr="00117CA0">
        <w:tc>
          <w:tcPr>
            <w:tcW w:w="9212" w:type="dxa"/>
            <w:shd w:val="clear" w:color="auto" w:fill="auto"/>
          </w:tcPr>
          <w:p w14:paraId="34748808" w14:textId="77777777" w:rsidR="00117CA0" w:rsidRPr="0009513C" w:rsidRDefault="00117CA0" w:rsidP="002D0553">
            <w:pPr>
              <w:jc w:val="both"/>
              <w:rPr>
                <w:sz w:val="22"/>
              </w:rPr>
            </w:pPr>
            <w:r>
              <w:rPr>
                <w:sz w:val="22"/>
              </w:rPr>
              <w:t xml:space="preserve">Having regard to Regulation (EU) No 528/2012 of the European Parliament and of the Council of 22 May 2012 concerning the making available on the market and use of biocidal products;</w:t>
            </w:r>
          </w:p>
        </w:tc>
      </w:tr>
      <w:tr w:rsidR="00117CA0" w:rsidRPr="004F1A74" w14:paraId="7B8B38A0" w14:textId="77777777" w:rsidTr="00117CA0">
        <w:tc>
          <w:tcPr>
            <w:tcW w:w="9212" w:type="dxa"/>
          </w:tcPr>
          <w:p w14:paraId="1CAB662C" w14:textId="77777777" w:rsidR="00311A4F" w:rsidRDefault="00311A4F" w:rsidP="002D0553">
            <w:pPr>
              <w:jc w:val="both"/>
              <w:rPr>
                <w:sz w:val="22"/>
                <w:lang w:val="fr-FR"/>
              </w:rPr>
            </w:pPr>
          </w:p>
          <w:p w14:paraId="69B262F5" w14:textId="70AFA074" w:rsidR="00117CA0" w:rsidRPr="00C77669" w:rsidRDefault="00117CA0" w:rsidP="002D0553">
            <w:pPr>
              <w:jc w:val="both"/>
              <w:rPr>
                <w:sz w:val="22"/>
                <w:szCs w:val="22"/>
              </w:rPr>
            </w:pPr>
            <w:r>
              <w:rPr>
                <w:sz w:val="22"/>
              </w:rPr>
              <w:t xml:space="preserve">Having regard to the involvement of regional governments in the preparation of this Order, on …;</w:t>
            </w:r>
          </w:p>
        </w:tc>
      </w:tr>
      <w:tr w:rsidR="00117CA0" w:rsidRPr="004F1A74" w14:paraId="067EC481" w14:textId="77777777" w:rsidTr="00117CA0">
        <w:tc>
          <w:tcPr>
            <w:tcW w:w="9212" w:type="dxa"/>
          </w:tcPr>
          <w:p w14:paraId="27085A59" w14:textId="77777777" w:rsidR="00117CA0" w:rsidRPr="005435A9" w:rsidRDefault="00117CA0" w:rsidP="002D0553">
            <w:pPr>
              <w:jc w:val="both"/>
              <w:rPr>
                <w:sz w:val="22"/>
                <w:szCs w:val="22"/>
                <w:lang w:val="fr-FR" w:eastAsia="fr-FR"/>
              </w:rPr>
            </w:pPr>
          </w:p>
        </w:tc>
      </w:tr>
      <w:tr w:rsidR="00117CA0" w:rsidRPr="004F1A74" w14:paraId="2256D0B8" w14:textId="77777777" w:rsidTr="00117CA0">
        <w:tc>
          <w:tcPr>
            <w:tcW w:w="9212" w:type="dxa"/>
          </w:tcPr>
          <w:p w14:paraId="484536DE" w14:textId="77777777" w:rsidR="00117CA0" w:rsidRPr="00AB23CD" w:rsidRDefault="00117CA0" w:rsidP="002D0553">
            <w:pPr>
              <w:jc w:val="both"/>
              <w:rPr>
                <w:sz w:val="22"/>
                <w:szCs w:val="22"/>
              </w:rPr>
            </w:pPr>
            <w:r>
              <w:rPr>
                <w:sz w:val="22"/>
              </w:rPr>
              <w:t xml:space="preserve">Having regard to the opinion of the Federal Council for Sustainable Development issued on …;</w:t>
            </w:r>
            <w:r>
              <w:rPr>
                <w:sz w:val="22"/>
              </w:rPr>
              <w:t xml:space="preserve">               </w:t>
            </w:r>
          </w:p>
        </w:tc>
      </w:tr>
      <w:tr w:rsidR="00117CA0" w:rsidRPr="004F1A74" w14:paraId="359D8280" w14:textId="77777777" w:rsidTr="00117CA0">
        <w:tc>
          <w:tcPr>
            <w:tcW w:w="9212" w:type="dxa"/>
          </w:tcPr>
          <w:p w14:paraId="7791F629" w14:textId="77777777" w:rsidR="00117CA0" w:rsidRPr="00AB23CD" w:rsidRDefault="00117CA0" w:rsidP="002D0553">
            <w:pPr>
              <w:jc w:val="both"/>
              <w:rPr>
                <w:sz w:val="22"/>
                <w:szCs w:val="22"/>
                <w:lang w:val="fr-FR" w:eastAsia="fr-FR"/>
              </w:rPr>
            </w:pPr>
          </w:p>
        </w:tc>
      </w:tr>
      <w:tr w:rsidR="00117CA0" w:rsidRPr="004F1A74" w14:paraId="12C08140" w14:textId="77777777" w:rsidTr="00117CA0">
        <w:tc>
          <w:tcPr>
            <w:tcW w:w="9212" w:type="dxa"/>
          </w:tcPr>
          <w:p w14:paraId="76A428DC" w14:textId="77777777" w:rsidR="00117CA0" w:rsidRPr="00AB23CD" w:rsidRDefault="00117CA0" w:rsidP="002D0553">
            <w:pPr>
              <w:jc w:val="both"/>
              <w:rPr>
                <w:sz w:val="22"/>
                <w:szCs w:val="22"/>
              </w:rPr>
            </w:pPr>
            <w:r>
              <w:rPr>
                <w:sz w:val="22"/>
              </w:rPr>
              <w:t xml:space="preserve">Having regard to the opinion of the High Council for Health issued on …;</w:t>
            </w:r>
          </w:p>
        </w:tc>
      </w:tr>
      <w:tr w:rsidR="00117CA0" w:rsidRPr="004F1A74" w14:paraId="5B96BA19" w14:textId="77777777" w:rsidTr="00117CA0">
        <w:tc>
          <w:tcPr>
            <w:tcW w:w="9212" w:type="dxa"/>
          </w:tcPr>
          <w:p w14:paraId="7E2B3B81" w14:textId="77777777" w:rsidR="00117CA0" w:rsidRPr="00AB23CD" w:rsidRDefault="00117CA0" w:rsidP="002D0553">
            <w:pPr>
              <w:jc w:val="both"/>
              <w:rPr>
                <w:sz w:val="22"/>
                <w:szCs w:val="22"/>
                <w:lang w:val="fr-FR" w:eastAsia="fr-FR"/>
              </w:rPr>
            </w:pPr>
          </w:p>
        </w:tc>
      </w:tr>
      <w:tr w:rsidR="00117CA0" w:rsidRPr="004F1A74" w14:paraId="6114C781" w14:textId="77777777" w:rsidTr="00117CA0">
        <w:tc>
          <w:tcPr>
            <w:tcW w:w="9212" w:type="dxa"/>
          </w:tcPr>
          <w:p w14:paraId="406E4333" w14:textId="77777777" w:rsidR="00117CA0" w:rsidRPr="00AB23CD" w:rsidRDefault="00117CA0" w:rsidP="002D0553">
            <w:pPr>
              <w:jc w:val="both"/>
              <w:rPr>
                <w:sz w:val="22"/>
                <w:szCs w:val="22"/>
              </w:rPr>
            </w:pPr>
            <w:r>
              <w:rPr>
                <w:sz w:val="22"/>
              </w:rPr>
              <w:t xml:space="preserve">Having regard to the opinion of the Special Advisory Commission on Consumption issued on …;</w:t>
            </w:r>
            <w:r>
              <w:rPr>
                <w:sz w:val="22"/>
              </w:rPr>
              <w:t xml:space="preserve">                                      </w:t>
            </w:r>
          </w:p>
        </w:tc>
      </w:tr>
      <w:tr w:rsidR="00117CA0" w:rsidRPr="004F1A74" w14:paraId="46F5F3E8" w14:textId="77777777" w:rsidTr="00117CA0">
        <w:tc>
          <w:tcPr>
            <w:tcW w:w="9212" w:type="dxa"/>
          </w:tcPr>
          <w:p w14:paraId="753680BE" w14:textId="77777777" w:rsidR="00117CA0" w:rsidRPr="00AB23CD" w:rsidRDefault="00117CA0" w:rsidP="002D0553">
            <w:pPr>
              <w:jc w:val="both"/>
              <w:rPr>
                <w:sz w:val="22"/>
                <w:szCs w:val="22"/>
                <w:lang w:val="fr-FR" w:eastAsia="fr-FR"/>
              </w:rPr>
            </w:pPr>
          </w:p>
        </w:tc>
      </w:tr>
      <w:tr w:rsidR="00117CA0" w:rsidRPr="004F1A74" w14:paraId="24B3AF2E" w14:textId="77777777" w:rsidTr="00117CA0">
        <w:tc>
          <w:tcPr>
            <w:tcW w:w="9212" w:type="dxa"/>
          </w:tcPr>
          <w:p w14:paraId="649AE0EC" w14:textId="77777777" w:rsidR="00117CA0" w:rsidRPr="00AB23CD" w:rsidRDefault="00117CA0" w:rsidP="002D0553">
            <w:pPr>
              <w:jc w:val="both"/>
              <w:rPr>
                <w:sz w:val="22"/>
                <w:szCs w:val="22"/>
              </w:rPr>
            </w:pPr>
            <w:r>
              <w:rPr>
                <w:sz w:val="22"/>
              </w:rPr>
              <w:t xml:space="preserve">Having regard to the opinion of the Central Economic Council issued on …;</w:t>
            </w:r>
            <w:r>
              <w:rPr>
                <w:sz w:val="22"/>
              </w:rPr>
              <w:t xml:space="preserve">                  </w:t>
            </w:r>
          </w:p>
        </w:tc>
      </w:tr>
      <w:tr w:rsidR="00117CA0" w:rsidRPr="004F1A74" w14:paraId="640F61D9" w14:textId="77777777" w:rsidTr="00117CA0">
        <w:tc>
          <w:tcPr>
            <w:tcW w:w="9212" w:type="dxa"/>
          </w:tcPr>
          <w:p w14:paraId="1C542B57" w14:textId="77777777" w:rsidR="00117CA0" w:rsidRPr="00AB23CD" w:rsidRDefault="00117CA0" w:rsidP="002D0553">
            <w:pPr>
              <w:jc w:val="both"/>
              <w:rPr>
                <w:sz w:val="22"/>
                <w:szCs w:val="22"/>
                <w:lang w:val="fr-BE" w:eastAsia="fr-FR"/>
              </w:rPr>
            </w:pPr>
          </w:p>
        </w:tc>
      </w:tr>
      <w:tr w:rsidR="00117CA0" w:rsidRPr="004F1A74" w14:paraId="04B833F2" w14:textId="77777777" w:rsidTr="00117CA0">
        <w:tc>
          <w:tcPr>
            <w:tcW w:w="9212" w:type="dxa"/>
            <w:shd w:val="clear" w:color="auto" w:fill="auto"/>
          </w:tcPr>
          <w:p w14:paraId="3D29B958" w14:textId="77777777" w:rsidR="00117CA0" w:rsidRPr="00360D33" w:rsidRDefault="00117CA0" w:rsidP="002D0553">
            <w:pPr>
              <w:jc w:val="both"/>
              <w:rPr>
                <w:sz w:val="22"/>
                <w:szCs w:val="22"/>
              </w:rPr>
            </w:pPr>
            <w:r>
              <w:rPr>
                <w:sz w:val="22"/>
              </w:rPr>
              <w:t xml:space="preserve">Having regard to Directive (EU) 2015/1535 of the European Parliament and of the Council of 9 September 2015 laying down a procedure for the provision of information in the field of technical regulations and of rules on information society services, Article 5, § 1(1);</w:t>
            </w:r>
          </w:p>
        </w:tc>
      </w:tr>
      <w:tr w:rsidR="00117CA0" w:rsidRPr="004F1A74" w14:paraId="026BB642" w14:textId="77777777" w:rsidTr="00117CA0">
        <w:tc>
          <w:tcPr>
            <w:tcW w:w="9212" w:type="dxa"/>
            <w:shd w:val="clear" w:color="auto" w:fill="auto"/>
          </w:tcPr>
          <w:p w14:paraId="29AD8FA0" w14:textId="77777777" w:rsidR="00117CA0" w:rsidRPr="00360D33" w:rsidRDefault="00117CA0" w:rsidP="002D0553">
            <w:pPr>
              <w:jc w:val="both"/>
              <w:rPr>
                <w:sz w:val="22"/>
                <w:szCs w:val="22"/>
                <w:lang w:val="fr-BE" w:eastAsia="fr-FR"/>
              </w:rPr>
            </w:pPr>
          </w:p>
        </w:tc>
      </w:tr>
      <w:tr w:rsidR="00117CA0" w:rsidRPr="004F1A74" w14:paraId="044AE232" w14:textId="77777777" w:rsidTr="00117CA0">
        <w:tc>
          <w:tcPr>
            <w:tcW w:w="9212" w:type="dxa"/>
            <w:shd w:val="clear" w:color="auto" w:fill="auto"/>
          </w:tcPr>
          <w:p w14:paraId="793BC03D" w14:textId="77777777" w:rsidR="00117CA0" w:rsidRPr="00382215" w:rsidRDefault="00117CA0" w:rsidP="002D0553">
            <w:pPr>
              <w:jc w:val="both"/>
              <w:rPr>
                <w:sz w:val="22"/>
                <w:szCs w:val="22"/>
              </w:rPr>
            </w:pPr>
            <w:r>
              <w:rPr>
                <w:sz w:val="22"/>
              </w:rPr>
              <w:t xml:space="preserve">Having regard to notification No 2022/xxx/B addressed to the European Commission on xxx 2022;</w:t>
            </w:r>
          </w:p>
        </w:tc>
      </w:tr>
      <w:tr w:rsidR="00117CA0" w:rsidRPr="004F1A74" w14:paraId="3718DC3C" w14:textId="77777777" w:rsidTr="00117CA0">
        <w:tc>
          <w:tcPr>
            <w:tcW w:w="9212" w:type="dxa"/>
          </w:tcPr>
          <w:p w14:paraId="47D45049" w14:textId="77777777" w:rsidR="00117CA0" w:rsidRPr="00382215" w:rsidRDefault="00117CA0" w:rsidP="002D0553">
            <w:pPr>
              <w:jc w:val="both"/>
              <w:rPr>
                <w:sz w:val="22"/>
                <w:lang w:val="fr-BE" w:eastAsia="fr-FR"/>
              </w:rPr>
            </w:pPr>
          </w:p>
        </w:tc>
      </w:tr>
      <w:tr w:rsidR="00117CA0" w:rsidRPr="004F1A74" w14:paraId="6D12425F" w14:textId="77777777" w:rsidTr="00117CA0">
        <w:tc>
          <w:tcPr>
            <w:tcW w:w="9212" w:type="dxa"/>
          </w:tcPr>
          <w:p w14:paraId="4FC5A9DC" w14:textId="77777777" w:rsidR="00117CA0" w:rsidRPr="005228D6" w:rsidRDefault="00117CA0" w:rsidP="002D0553">
            <w:pPr>
              <w:jc w:val="both"/>
              <w:rPr>
                <w:sz w:val="22"/>
              </w:rPr>
            </w:pPr>
            <w:r>
              <w:rPr>
                <w:sz w:val="22"/>
              </w:rPr>
              <w:t xml:space="preserve">Having regard to the opinion of the Inspector of Finance issued on …;</w:t>
            </w:r>
          </w:p>
        </w:tc>
      </w:tr>
      <w:tr w:rsidR="00117CA0" w:rsidRPr="004F1A74" w14:paraId="73C728DA" w14:textId="77777777" w:rsidTr="00117CA0">
        <w:tc>
          <w:tcPr>
            <w:tcW w:w="9212" w:type="dxa"/>
          </w:tcPr>
          <w:p w14:paraId="784114C8" w14:textId="77777777" w:rsidR="00117CA0" w:rsidRPr="00FB517C" w:rsidRDefault="00117CA0" w:rsidP="002D0553">
            <w:pPr>
              <w:jc w:val="both"/>
              <w:rPr>
                <w:sz w:val="22"/>
              </w:rPr>
            </w:pPr>
            <w:r>
              <w:rPr>
                <w:sz w:val="22"/>
              </w:rPr>
              <w:t xml:space="preserve">Having regard to the agreement of the Secretary of State for the Budget given on …;</w:t>
            </w:r>
          </w:p>
        </w:tc>
      </w:tr>
      <w:tr w:rsidR="00117CA0" w:rsidRPr="004F1A74" w14:paraId="05E550E1" w14:textId="77777777" w:rsidTr="00117CA0">
        <w:tc>
          <w:tcPr>
            <w:tcW w:w="9212" w:type="dxa"/>
          </w:tcPr>
          <w:p w14:paraId="3A771820" w14:textId="77777777" w:rsidR="00117CA0" w:rsidRPr="00123EE7" w:rsidRDefault="00117CA0" w:rsidP="002D0553">
            <w:pPr>
              <w:jc w:val="both"/>
              <w:rPr>
                <w:sz w:val="22"/>
                <w:lang w:val="fr-BE" w:eastAsia="fr-FR"/>
              </w:rPr>
            </w:pPr>
          </w:p>
        </w:tc>
      </w:tr>
      <w:tr w:rsidR="00117CA0" w:rsidRPr="004F1A74" w14:paraId="17AD64DD" w14:textId="77777777" w:rsidTr="00117CA0">
        <w:tc>
          <w:tcPr>
            <w:tcW w:w="9212" w:type="dxa"/>
          </w:tcPr>
          <w:p w14:paraId="7D7F4CAC" w14:textId="767B6C57" w:rsidR="00117CA0" w:rsidRPr="004815C8" w:rsidRDefault="00117CA0" w:rsidP="002D0553">
            <w:pPr>
              <w:jc w:val="both"/>
              <w:rPr>
                <w:sz w:val="22"/>
              </w:rPr>
            </w:pPr>
            <w:r>
              <w:rPr>
                <w:sz w:val="22"/>
              </w:rPr>
              <w:t xml:space="preserve">Having regard to the impact assessment of the regulation, conducted in accordance with Articles 6 and 7 of the Law of 15 December 2013, containing various provisions relating to administrative simplification;</w:t>
            </w:r>
          </w:p>
        </w:tc>
      </w:tr>
      <w:tr w:rsidR="00117CA0" w:rsidRPr="004F1A74" w14:paraId="7E1CF7E3" w14:textId="77777777" w:rsidTr="00117CA0">
        <w:tc>
          <w:tcPr>
            <w:tcW w:w="9212" w:type="dxa"/>
          </w:tcPr>
          <w:p w14:paraId="720327DB" w14:textId="77777777" w:rsidR="00117CA0" w:rsidRPr="00266C90" w:rsidRDefault="00117CA0" w:rsidP="002D0553">
            <w:pPr>
              <w:jc w:val="both"/>
              <w:rPr>
                <w:sz w:val="22"/>
                <w:lang w:val="fr-BE" w:eastAsia="fr-FR"/>
              </w:rPr>
            </w:pPr>
          </w:p>
        </w:tc>
      </w:tr>
      <w:tr w:rsidR="00117CA0" w:rsidRPr="004F1A74" w14:paraId="25D4D5E8" w14:textId="77777777" w:rsidTr="00117CA0">
        <w:tc>
          <w:tcPr>
            <w:tcW w:w="9212" w:type="dxa"/>
          </w:tcPr>
          <w:p w14:paraId="385EBF12" w14:textId="77777777" w:rsidR="00117CA0" w:rsidRDefault="00117CA0" w:rsidP="002D0553">
            <w:pPr>
              <w:jc w:val="both"/>
              <w:rPr>
                <w:sz w:val="22"/>
              </w:rPr>
            </w:pPr>
            <w:r>
              <w:rPr>
                <w:sz w:val="22"/>
              </w:rPr>
              <w:t xml:space="preserve">Having regard to opinion xx.xxx of the Council of State, issued on …, pursuant to Article 84, § 1(1)(2) of the laws on the Council of State, consolidated on 12 January 1973;</w:t>
            </w:r>
            <w:r>
              <w:rPr>
                <w:sz w:val="22"/>
              </w:rPr>
              <w:t xml:space="preserve"> </w:t>
            </w:r>
          </w:p>
        </w:tc>
      </w:tr>
      <w:tr w:rsidR="00117CA0" w:rsidRPr="004F1A74" w14:paraId="47997A35" w14:textId="77777777" w:rsidTr="00117CA0">
        <w:tc>
          <w:tcPr>
            <w:tcW w:w="9212" w:type="dxa"/>
          </w:tcPr>
          <w:p w14:paraId="711ED9E1" w14:textId="77777777" w:rsidR="00117CA0" w:rsidRDefault="00117CA0" w:rsidP="002D0553">
            <w:pPr>
              <w:autoSpaceDE w:val="0"/>
              <w:autoSpaceDN w:val="0"/>
              <w:adjustRightInd w:val="0"/>
              <w:jc w:val="both"/>
              <w:rPr>
                <w:sz w:val="22"/>
                <w:szCs w:val="19"/>
                <w:lang w:val="fr-FR"/>
              </w:rPr>
            </w:pPr>
          </w:p>
        </w:tc>
      </w:tr>
      <w:tr w:rsidR="00117CA0" w:rsidRPr="004F1A74" w14:paraId="16809A4E" w14:textId="77777777" w:rsidTr="00117CA0">
        <w:tc>
          <w:tcPr>
            <w:tcW w:w="9212" w:type="dxa"/>
          </w:tcPr>
          <w:p w14:paraId="65F22BA1" w14:textId="77777777" w:rsidR="00117CA0" w:rsidRDefault="00117CA0" w:rsidP="002D0553">
            <w:pPr>
              <w:pStyle w:val="BodyTextIndent2"/>
              <w:ind w:left="0"/>
              <w:jc w:val="both"/>
              <w:rPr>
                <w:sz w:val="22"/>
              </w:rPr>
            </w:pPr>
            <w:r>
              <w:rPr>
                <w:sz w:val="22"/>
              </w:rPr>
              <w:t xml:space="preserve">On the proposal of the Minister of Public Health and the Minister of the Environment,</w:t>
            </w:r>
            <w:r>
              <w:rPr>
                <w:sz w:val="22"/>
              </w:rPr>
              <w:t xml:space="preserve"> </w:t>
            </w:r>
          </w:p>
        </w:tc>
      </w:tr>
      <w:tr w:rsidR="00117CA0" w:rsidRPr="004F1A74" w14:paraId="153F5469" w14:textId="77777777" w:rsidTr="00117CA0">
        <w:tc>
          <w:tcPr>
            <w:tcW w:w="9212" w:type="dxa"/>
          </w:tcPr>
          <w:p w14:paraId="5EAC5B81" w14:textId="77777777" w:rsidR="00117CA0" w:rsidRDefault="00117CA0" w:rsidP="002D0553">
            <w:pPr>
              <w:pStyle w:val="BodyTextIndent2"/>
              <w:ind w:left="0"/>
              <w:jc w:val="both"/>
              <w:rPr>
                <w:sz w:val="22"/>
                <w:lang w:val="fr-BE"/>
              </w:rPr>
            </w:pPr>
          </w:p>
        </w:tc>
      </w:tr>
      <w:tr w:rsidR="00117CA0" w:rsidRPr="004F1A74" w14:paraId="47AD3813" w14:textId="77777777" w:rsidTr="00117CA0">
        <w:tc>
          <w:tcPr>
            <w:tcW w:w="9212" w:type="dxa"/>
          </w:tcPr>
          <w:p w14:paraId="3995ECE1" w14:textId="77777777" w:rsidR="00117CA0" w:rsidRDefault="00117CA0" w:rsidP="002D0553">
            <w:pPr>
              <w:pStyle w:val="BodyTextIndent2"/>
              <w:ind w:left="0"/>
              <w:jc w:val="both"/>
              <w:rPr>
                <w:sz w:val="22"/>
              </w:rPr>
            </w:pPr>
            <w:r>
              <w:rPr>
                <w:sz w:val="22"/>
              </w:rPr>
              <w:t xml:space="preserve">We have decreed and hereby decree:</w:t>
            </w:r>
          </w:p>
        </w:tc>
      </w:tr>
      <w:tr w:rsidR="00117CA0" w:rsidRPr="004F1A74" w14:paraId="33A80375" w14:textId="77777777" w:rsidTr="00117CA0">
        <w:tc>
          <w:tcPr>
            <w:tcW w:w="9212" w:type="dxa"/>
          </w:tcPr>
          <w:p w14:paraId="5B4CFD8D" w14:textId="77777777" w:rsidR="00117CA0" w:rsidRDefault="00117CA0" w:rsidP="002D0553">
            <w:pPr>
              <w:pStyle w:val="BodyTextIndent2"/>
              <w:ind w:left="0"/>
              <w:jc w:val="both"/>
              <w:rPr>
                <w:sz w:val="22"/>
                <w:lang w:val="fr-BE"/>
              </w:rPr>
            </w:pPr>
          </w:p>
        </w:tc>
      </w:tr>
      <w:tr w:rsidR="00117CA0" w:rsidRPr="004F1A74" w14:paraId="4FCBCE86" w14:textId="77777777" w:rsidTr="00117CA0">
        <w:tc>
          <w:tcPr>
            <w:tcW w:w="9212" w:type="dxa"/>
          </w:tcPr>
          <w:p w14:paraId="4F99754C" w14:textId="77777777" w:rsidR="00117CA0" w:rsidRPr="00200E86" w:rsidRDefault="00117CA0" w:rsidP="002D0553">
            <w:pPr>
              <w:jc w:val="both"/>
              <w:rPr>
                <w:sz w:val="22"/>
              </w:rPr>
            </w:pPr>
            <w:r>
              <w:rPr>
                <w:sz w:val="22"/>
                <w:b/>
              </w:rPr>
              <w:t xml:space="preserve">Article 1.</w:t>
            </w:r>
            <w:r>
              <w:rPr>
                <w:sz w:val="22"/>
              </w:rPr>
              <w:t xml:space="preserve"> </w:t>
            </w:r>
            <w:r>
              <w:rPr>
                <w:sz w:val="22"/>
              </w:rPr>
              <w:t xml:space="preserve">§ 1.</w:t>
            </w:r>
            <w:r>
              <w:rPr>
                <w:sz w:val="22"/>
              </w:rPr>
              <w:t xml:space="preserve"> </w:t>
            </w:r>
            <w:r>
              <w:rPr>
                <w:sz w:val="22"/>
              </w:rPr>
              <w:t xml:space="preserve">The purpose of this Decree is to:</w:t>
            </w:r>
            <w:r>
              <w:rPr>
                <w:sz w:val="22"/>
              </w:rPr>
              <w:t xml:space="preserve"> </w:t>
            </w:r>
          </w:p>
          <w:p w14:paraId="4D35BDA0" w14:textId="77777777" w:rsidR="00117CA0" w:rsidRPr="00200E86" w:rsidRDefault="00117CA0" w:rsidP="002D0553">
            <w:pPr>
              <w:jc w:val="both"/>
              <w:rPr>
                <w:bCs/>
                <w:sz w:val="22"/>
              </w:rPr>
            </w:pPr>
            <w:r>
              <w:rPr>
                <w:sz w:val="22"/>
              </w:rPr>
              <w:t xml:space="preserve">(1) ensure a high level of protection of human health and the environment.</w:t>
            </w:r>
            <w:r>
              <w:rPr>
                <w:sz w:val="22"/>
              </w:rPr>
              <w:t xml:space="preserve"> </w:t>
            </w:r>
            <w:r>
              <w:rPr>
                <w:sz w:val="22"/>
              </w:rPr>
              <w:t xml:space="preserve">The provisions of this Decree are based on the precautionary principle;</w:t>
            </w:r>
          </w:p>
          <w:p w14:paraId="21B874E0" w14:textId="77777777" w:rsidR="00117CA0" w:rsidRPr="00200E86" w:rsidRDefault="00117CA0" w:rsidP="002D0553">
            <w:pPr>
              <w:jc w:val="both"/>
              <w:rPr>
                <w:bCs/>
                <w:sz w:val="22"/>
              </w:rPr>
            </w:pPr>
            <w:r>
              <w:rPr>
                <w:sz w:val="22"/>
              </w:rPr>
              <w:t xml:space="preserve">(2) implement Article 5, § 1(8) of the Law of 21 December 1998 on product standards for the promotion of sustainable production and consumption patterns and the protection of the environment, health and workers;</w:t>
            </w:r>
          </w:p>
          <w:p w14:paraId="3C686F5F" w14:textId="77777777" w:rsidR="00117CA0" w:rsidRPr="00200E86" w:rsidRDefault="00117CA0" w:rsidP="002D0553">
            <w:pPr>
              <w:jc w:val="both"/>
              <w:rPr>
                <w:bCs/>
                <w:sz w:val="22"/>
              </w:rPr>
            </w:pPr>
            <w:r>
              <w:rPr>
                <w:sz w:val="22"/>
              </w:rPr>
              <w:t xml:space="preserve">(3) usefully supplement Regulation (EU) No 649/2012 of the European Parliament and of the Council of 4 July 2012 concerning the export and import of hazardous chemicals.</w:t>
            </w:r>
          </w:p>
          <w:p w14:paraId="0D85599F" w14:textId="77777777" w:rsidR="00117CA0" w:rsidRPr="00200E86" w:rsidRDefault="00117CA0" w:rsidP="002D0553">
            <w:pPr>
              <w:ind w:firstLine="284"/>
              <w:jc w:val="both"/>
              <w:rPr>
                <w:bCs/>
                <w:sz w:val="22"/>
              </w:rPr>
            </w:pPr>
            <w:r>
              <w:rPr>
                <w:sz w:val="22"/>
              </w:rPr>
              <w:t xml:space="preserve">§ 2.</w:t>
            </w:r>
            <w:r>
              <w:rPr>
                <w:sz w:val="22"/>
              </w:rPr>
              <w:t xml:space="preserve"> </w:t>
            </w:r>
            <w:r>
              <w:rPr>
                <w:sz w:val="22"/>
              </w:rPr>
              <w:t xml:space="preserve">This Decree applies to certain hazardous substances listed in Annex I to Regulation (EU) No 649/2012 and meeting the conditions laid down in this Decree.</w:t>
            </w:r>
          </w:p>
        </w:tc>
      </w:tr>
      <w:tr w:rsidR="00117CA0" w:rsidRPr="004F1A74" w14:paraId="2CAACFC7" w14:textId="77777777" w:rsidTr="00117CA0">
        <w:tc>
          <w:tcPr>
            <w:tcW w:w="9212" w:type="dxa"/>
          </w:tcPr>
          <w:p w14:paraId="58BED97F" w14:textId="77777777" w:rsidR="00117CA0" w:rsidRDefault="00117CA0" w:rsidP="002D0553">
            <w:pPr>
              <w:jc w:val="both"/>
              <w:rPr>
                <w:b/>
                <w:bCs/>
                <w:sz w:val="22"/>
                <w:lang w:val="fr-BE"/>
              </w:rPr>
            </w:pPr>
          </w:p>
        </w:tc>
      </w:tr>
      <w:tr w:rsidR="00117CA0" w:rsidRPr="004F1A74" w14:paraId="6C85B2F8" w14:textId="77777777" w:rsidTr="00117CA0">
        <w:tc>
          <w:tcPr>
            <w:tcW w:w="9212" w:type="dxa"/>
          </w:tcPr>
          <w:p w14:paraId="2FF1DBB0" w14:textId="77777777" w:rsidR="00117CA0" w:rsidRPr="00C371A0" w:rsidRDefault="00117CA0" w:rsidP="002D0553">
            <w:pPr>
              <w:jc w:val="both"/>
              <w:rPr>
                <w:sz w:val="22"/>
                <w:szCs w:val="22"/>
              </w:rPr>
            </w:pPr>
            <w:r>
              <w:rPr>
                <w:sz w:val="22"/>
                <w:b/>
              </w:rPr>
              <w:t xml:space="preserve">Article 2.</w:t>
            </w:r>
            <w:r>
              <w:rPr>
                <w:sz w:val="22"/>
                <w:b/>
              </w:rPr>
              <w:t xml:space="preserve"> </w:t>
            </w:r>
            <w:r>
              <w:rPr>
                <w:sz w:val="22"/>
              </w:rPr>
              <w:t xml:space="preserve">For the application of the present Decree, the following definitions apply:</w:t>
            </w:r>
            <w:r>
              <w:rPr>
                <w:sz w:val="22"/>
                <w:b/>
              </w:rPr>
              <w:t xml:space="preserve"> </w:t>
            </w:r>
          </w:p>
        </w:tc>
      </w:tr>
      <w:tr w:rsidR="00117CA0" w:rsidRPr="004F1A74" w14:paraId="27B0842A" w14:textId="77777777" w:rsidTr="00117CA0">
        <w:tc>
          <w:tcPr>
            <w:tcW w:w="9212" w:type="dxa"/>
          </w:tcPr>
          <w:p w14:paraId="602FD199" w14:textId="77777777" w:rsidR="00117CA0" w:rsidRDefault="00117CA0" w:rsidP="002D0553">
            <w:pPr>
              <w:jc w:val="both"/>
              <w:rPr>
                <w:sz w:val="22"/>
                <w:szCs w:val="22"/>
              </w:rPr>
            </w:pPr>
            <w:r>
              <w:rPr>
                <w:sz w:val="22"/>
              </w:rPr>
              <w:t xml:space="preserve">1. ‘Law of 21 December 1998’: the Law of 21 December 1998 on product standards for the promotion of sustainable production and consumption patterns and the protection of the environment, health and workers;</w:t>
            </w:r>
            <w:r>
              <w:rPr>
                <w:sz w:val="22"/>
              </w:rPr>
              <w:t xml:space="preserve"> </w:t>
            </w:r>
          </w:p>
          <w:p w14:paraId="2588BE04" w14:textId="77777777" w:rsidR="00117CA0" w:rsidRDefault="00117CA0" w:rsidP="002D0553">
            <w:pPr>
              <w:jc w:val="both"/>
              <w:rPr>
                <w:sz w:val="22"/>
                <w:szCs w:val="22"/>
              </w:rPr>
            </w:pPr>
            <w:r>
              <w:rPr>
                <w:sz w:val="22"/>
              </w:rPr>
              <w:t xml:space="preserve">2. ‘hazardous substances’: substances, alone or in mixtures, as defined in Article 2(7) of the Law of 21 December 1998;</w:t>
            </w:r>
            <w:r>
              <w:rPr>
                <w:sz w:val="22"/>
              </w:rPr>
              <w:t xml:space="preserve"> </w:t>
            </w:r>
          </w:p>
          <w:p w14:paraId="09EE545B" w14:textId="77777777" w:rsidR="00117CA0" w:rsidRDefault="00117CA0" w:rsidP="002D0553">
            <w:pPr>
              <w:jc w:val="both"/>
              <w:rPr>
                <w:sz w:val="22"/>
                <w:szCs w:val="22"/>
              </w:rPr>
            </w:pPr>
            <w:r>
              <w:rPr>
                <w:sz w:val="22"/>
              </w:rPr>
              <w:t xml:space="preserve">3. ‘mixtures’: mixtures as defined in Article 2(6) of the Law of 21 December 1998;</w:t>
            </w:r>
          </w:p>
          <w:p w14:paraId="1726E3AE" w14:textId="77777777" w:rsidR="00117CA0" w:rsidRPr="0009513C" w:rsidRDefault="00117CA0" w:rsidP="002D0553">
            <w:pPr>
              <w:jc w:val="both"/>
              <w:rPr>
                <w:sz w:val="22"/>
                <w:szCs w:val="22"/>
              </w:rPr>
            </w:pPr>
            <w:r>
              <w:rPr>
                <w:sz w:val="22"/>
              </w:rPr>
              <w:t xml:space="preserve">4. ‘export’: the temporary or definitive export of a hazardous substance listed in Annex 1 and 3 to this Decree and originating in Belgium, and of a hazardous substance from third countries which is in free circulation in Belgium;</w:t>
            </w:r>
            <w:r>
              <w:rPr>
                <w:sz w:val="22"/>
              </w:rPr>
              <w:t xml:space="preserve"> </w:t>
            </w:r>
          </w:p>
          <w:p w14:paraId="49F93BAA" w14:textId="77777777" w:rsidR="00117CA0" w:rsidRPr="0009513C" w:rsidRDefault="00117CA0" w:rsidP="002D0553">
            <w:pPr>
              <w:jc w:val="both"/>
              <w:rPr>
                <w:sz w:val="22"/>
                <w:szCs w:val="22"/>
              </w:rPr>
            </w:pPr>
            <w:r>
              <w:rPr>
                <w:sz w:val="22"/>
              </w:rPr>
              <w:t xml:space="preserve">5. ‘the PIC Regulation’: Regulation (EU) No 649/2012 of the European Parliament and of the Council of 4 July 2012 concerning the export and import of hazardous chemicals;</w:t>
            </w:r>
            <w:r>
              <w:rPr>
                <w:sz w:val="22"/>
              </w:rPr>
              <w:t xml:space="preserve"> </w:t>
            </w:r>
          </w:p>
          <w:p w14:paraId="7972BE19" w14:textId="77777777" w:rsidR="00117CA0" w:rsidRPr="0009513C" w:rsidRDefault="00117CA0" w:rsidP="002D0553">
            <w:pPr>
              <w:jc w:val="both"/>
              <w:rPr>
                <w:sz w:val="22"/>
                <w:szCs w:val="22"/>
              </w:rPr>
            </w:pPr>
            <w:r>
              <w:rPr>
                <w:sz w:val="22"/>
              </w:rPr>
              <w:t xml:space="preserve">6. ‘the CLP Regulation’: Regulation (EC) No 1272/2008 of the European Parliament and of the Council of 16 December 2008 on classification, labelling and packaging of substances and mixtures, amending and repealing Directives 67/548/EEC and 1999/45/EC and amending Regulation (EC) No 1907/2006;</w:t>
            </w:r>
          </w:p>
          <w:p w14:paraId="41F3C103" w14:textId="77777777" w:rsidR="00117CA0" w:rsidRPr="0009513C" w:rsidRDefault="00117CA0" w:rsidP="002D0553">
            <w:pPr>
              <w:jc w:val="both"/>
              <w:rPr>
                <w:sz w:val="22"/>
              </w:rPr>
            </w:pPr>
            <w:r>
              <w:rPr>
                <w:sz w:val="22"/>
              </w:rPr>
              <w:t xml:space="preserve">7. ‘the PPP Regulation’: Regulation (EC) No 1107/2009 of the European Parliament and of the Council of 21 October 2009 concerning the placing of plant protection products on the market and repealing Council Directives 79/117/EEC and 91/414/EEC;</w:t>
            </w:r>
          </w:p>
          <w:p w14:paraId="3F407AB7" w14:textId="77777777" w:rsidR="00117CA0" w:rsidRPr="00AE4908" w:rsidRDefault="00117CA0" w:rsidP="002D0553">
            <w:pPr>
              <w:jc w:val="both"/>
              <w:rPr>
                <w:sz w:val="22"/>
                <w:szCs w:val="22"/>
              </w:rPr>
            </w:pPr>
            <w:r>
              <w:rPr>
                <w:sz w:val="22"/>
              </w:rPr>
              <w:t xml:space="preserve">8. ‘the Biocidal Product Regulation’: Regulation (EU) No 528/2012 of the European Parliament and of the Council of 22 May 2012 concerning the making available on the market and use of biocidal products.</w:t>
            </w:r>
          </w:p>
        </w:tc>
      </w:tr>
      <w:tr w:rsidR="00117CA0" w:rsidRPr="004F1A74" w14:paraId="3F216AAB" w14:textId="77777777" w:rsidTr="00117CA0">
        <w:tc>
          <w:tcPr>
            <w:tcW w:w="9212" w:type="dxa"/>
          </w:tcPr>
          <w:p w14:paraId="39CB1640" w14:textId="77777777" w:rsidR="00117CA0" w:rsidRPr="007E49C6" w:rsidRDefault="00117CA0" w:rsidP="002D0553">
            <w:pPr>
              <w:jc w:val="both"/>
              <w:rPr>
                <w:sz w:val="22"/>
                <w:szCs w:val="22"/>
                <w:highlight w:val="yellow"/>
                <w:lang w:val="fr-BE"/>
              </w:rPr>
            </w:pPr>
          </w:p>
        </w:tc>
      </w:tr>
      <w:tr w:rsidR="00117CA0" w:rsidRPr="004F1A74" w14:paraId="11FCE317" w14:textId="77777777" w:rsidTr="00117CA0">
        <w:tc>
          <w:tcPr>
            <w:tcW w:w="9212" w:type="dxa"/>
          </w:tcPr>
          <w:p w14:paraId="0005FEA9" w14:textId="77777777" w:rsidR="00117CA0" w:rsidRDefault="00117CA0" w:rsidP="002D0553">
            <w:pPr>
              <w:jc w:val="both"/>
              <w:rPr>
                <w:sz w:val="22"/>
              </w:rPr>
            </w:pPr>
            <w:r>
              <w:rPr>
                <w:b/>
                <w:sz w:val="22"/>
              </w:rPr>
              <w:t xml:space="preserve">Article 3.</w:t>
            </w:r>
            <w:r>
              <w:t xml:space="preserve"> </w:t>
            </w:r>
            <w:r>
              <w:rPr>
                <w:sz w:val="22"/>
              </w:rPr>
              <w:t xml:space="preserve">§ 1.</w:t>
            </w:r>
            <w:r>
              <w:rPr>
                <w:sz w:val="22"/>
              </w:rPr>
              <w:t xml:space="preserve"> </w:t>
            </w:r>
            <w:r>
              <w:rPr>
                <w:sz w:val="22"/>
              </w:rPr>
              <w:t xml:space="preserve">The hazardous substances listed in Annex 1 to this Decree are prohibited from export.</w:t>
            </w:r>
            <w:r>
              <w:rPr>
                <w:sz w:val="22"/>
              </w:rPr>
              <w:t xml:space="preserve"> </w:t>
            </w:r>
          </w:p>
          <w:p w14:paraId="01075963" w14:textId="0814251F" w:rsidR="00117CA0" w:rsidRPr="00B22406" w:rsidRDefault="00117CA0" w:rsidP="002D0553">
            <w:pPr>
              <w:pStyle w:val="CommentText"/>
              <w:ind w:firstLine="284"/>
              <w:jc w:val="both"/>
            </w:pPr>
            <w:r>
              <w:rPr>
                <w:sz w:val="22"/>
              </w:rPr>
              <w:t xml:space="preserve">§ 2.</w:t>
            </w:r>
            <w:r>
              <w:rPr>
                <w:sz w:val="22"/>
              </w:rPr>
              <w:t xml:space="preserve"> </w:t>
            </w:r>
            <w:r>
              <w:rPr>
                <w:sz w:val="22"/>
              </w:rPr>
              <w:t xml:space="preserve">The hazardous substances listed in Annex 3 to this Decree are prohibited from export unless one or more specific uses is or are authorised in the European Union and only for that purpose.</w:t>
            </w:r>
          </w:p>
        </w:tc>
      </w:tr>
      <w:tr w:rsidR="00117CA0" w:rsidRPr="004F1A74" w14:paraId="08011AC0" w14:textId="77777777" w:rsidTr="00117CA0">
        <w:tc>
          <w:tcPr>
            <w:tcW w:w="9212" w:type="dxa"/>
          </w:tcPr>
          <w:p w14:paraId="2DA0AC5C" w14:textId="77777777" w:rsidR="00117CA0" w:rsidRPr="00B22406" w:rsidRDefault="00117CA0" w:rsidP="002D0553">
            <w:pPr>
              <w:jc w:val="both"/>
              <w:rPr>
                <w:sz w:val="22"/>
                <w:szCs w:val="22"/>
                <w:highlight w:val="yellow"/>
                <w:lang w:val="fr-FR"/>
              </w:rPr>
            </w:pPr>
          </w:p>
        </w:tc>
      </w:tr>
      <w:tr w:rsidR="00117CA0" w:rsidRPr="004F1A74" w14:paraId="683F8411" w14:textId="77777777" w:rsidTr="00117CA0">
        <w:tc>
          <w:tcPr>
            <w:tcW w:w="9212" w:type="dxa"/>
          </w:tcPr>
          <w:p w14:paraId="2D6BEED3" w14:textId="77777777" w:rsidR="00117CA0" w:rsidRDefault="00117CA0" w:rsidP="002D0553">
            <w:pPr>
              <w:jc w:val="both"/>
              <w:rPr>
                <w:sz w:val="22"/>
              </w:rPr>
            </w:pPr>
            <w:r>
              <w:rPr>
                <w:sz w:val="22"/>
                <w:b/>
              </w:rPr>
              <w:t xml:space="preserve">Article 4.</w:t>
            </w:r>
            <w:r>
              <w:rPr>
                <w:sz w:val="22"/>
                <w:b/>
              </w:rPr>
              <w:t xml:space="preserve"> </w:t>
            </w:r>
            <w:r>
              <w:rPr>
                <w:sz w:val="22"/>
              </w:rPr>
              <w:t xml:space="preserve">§ 1.</w:t>
            </w:r>
            <w:r>
              <w:rPr>
                <w:sz w:val="22"/>
              </w:rPr>
              <w:t xml:space="preserve"> </w:t>
            </w:r>
            <w:r>
              <w:rPr>
                <w:sz w:val="22"/>
              </w:rPr>
              <w:t xml:space="preserve">The Minister for Public Health and/or the Minister for the Environment may decide to include in Schedule 1 any hazardous substance when it meets the criteria referred to in § 2 of this article.</w:t>
            </w:r>
            <w:r>
              <w:rPr>
                <w:sz w:val="22"/>
              </w:rPr>
              <w:t xml:space="preserve"> </w:t>
            </w:r>
          </w:p>
          <w:p w14:paraId="20B5DB89" w14:textId="77777777" w:rsidR="00117CA0" w:rsidRPr="004D1A06" w:rsidRDefault="00117CA0" w:rsidP="002D0553">
            <w:pPr>
              <w:ind w:firstLine="284"/>
              <w:jc w:val="both"/>
              <w:rPr>
                <w:sz w:val="22"/>
              </w:rPr>
            </w:pPr>
            <w:r>
              <w:rPr>
                <w:sz w:val="22"/>
              </w:rPr>
              <w:t xml:space="preserve">§ 2.</w:t>
            </w:r>
            <w:r>
              <w:rPr>
                <w:sz w:val="22"/>
              </w:rPr>
              <w:t xml:space="preserve"> </w:t>
            </w:r>
            <w:r>
              <w:rPr>
                <w:sz w:val="22"/>
              </w:rPr>
              <w:t xml:space="preserve">In order to be included in Annex 1, the hazardous substance must meet the following criteria:</w:t>
            </w:r>
            <w:r>
              <w:rPr>
                <w:sz w:val="22"/>
              </w:rPr>
              <w:t xml:space="preserve"> </w:t>
            </w:r>
          </w:p>
          <w:p w14:paraId="7BB3EA29" w14:textId="77777777" w:rsidR="00117CA0" w:rsidRPr="004D1A06" w:rsidRDefault="00117CA0" w:rsidP="002D0553">
            <w:pPr>
              <w:jc w:val="both"/>
              <w:rPr>
                <w:sz w:val="22"/>
              </w:rPr>
            </w:pPr>
            <w:r>
              <w:rPr>
                <w:sz w:val="22"/>
              </w:rPr>
              <w:t xml:space="preserve">1. the hazardous substance is listed in Schedule I to the PIC Regulation;</w:t>
            </w:r>
            <w:r>
              <w:rPr>
                <w:sz w:val="22"/>
              </w:rPr>
              <w:t xml:space="preserve"> </w:t>
            </w:r>
            <w:r>
              <w:rPr>
                <w:sz w:val="22"/>
              </w:rPr>
              <w:t xml:space="preserve">and</w:t>
            </w:r>
          </w:p>
          <w:p w14:paraId="402B2D77" w14:textId="6529081D" w:rsidR="00117CA0" w:rsidRPr="0009513C" w:rsidRDefault="00117CA0" w:rsidP="002D0553">
            <w:pPr>
              <w:jc w:val="both"/>
              <w:rPr>
                <w:sz w:val="22"/>
              </w:rPr>
            </w:pPr>
            <w:r>
              <w:rPr>
                <w:sz w:val="22"/>
              </w:rPr>
              <w:t xml:space="preserve">2. the placing on the market and/or use of the hazardous substance is subject to a total European ban or non-approval under the Plant Protection and Biocidal Product Regulations;</w:t>
            </w:r>
            <w:r>
              <w:rPr>
                <w:sz w:val="22"/>
              </w:rPr>
              <w:t xml:space="preserve"> </w:t>
            </w:r>
            <w:r>
              <w:rPr>
                <w:sz w:val="22"/>
              </w:rPr>
              <w:t xml:space="preserve">and</w:t>
            </w:r>
          </w:p>
          <w:p w14:paraId="537C10C3" w14:textId="500CC0F9" w:rsidR="00117CA0" w:rsidRPr="00153669" w:rsidRDefault="00117CA0" w:rsidP="002D0553">
            <w:pPr>
              <w:jc w:val="both"/>
              <w:rPr>
                <w:sz w:val="22"/>
              </w:rPr>
            </w:pPr>
            <w:r>
              <w:rPr>
                <w:sz w:val="22"/>
              </w:rPr>
              <w:t xml:space="preserve">3. the total ban or non-approval referred to in point 2 is based on a finding of a proven risk to health and/or the environment;</w:t>
            </w:r>
            <w:r>
              <w:rPr>
                <w:sz w:val="22"/>
              </w:rPr>
              <w:t xml:space="preserve"> </w:t>
            </w:r>
            <w:r>
              <w:rPr>
                <w:sz w:val="22"/>
              </w:rPr>
              <w:t xml:space="preserve">or</w:t>
            </w:r>
          </w:p>
          <w:p w14:paraId="599BDD35" w14:textId="77777777" w:rsidR="00117CA0" w:rsidRPr="00153669" w:rsidRDefault="00117CA0" w:rsidP="002D0553">
            <w:pPr>
              <w:jc w:val="both"/>
              <w:rPr>
                <w:sz w:val="22"/>
              </w:rPr>
            </w:pPr>
            <w:r>
              <w:rPr>
                <w:sz w:val="22"/>
              </w:rPr>
              <w:t xml:space="preserve">4. the hazardous substance is classified in accordance with Annex VI to the CLP Regulation as</w:t>
            </w:r>
            <w:r>
              <w:rPr>
                <w:sz w:val="22"/>
              </w:rPr>
              <w:t xml:space="preserve">  </w:t>
            </w:r>
          </w:p>
          <w:p w14:paraId="4B822853" w14:textId="77777777" w:rsidR="00117CA0" w:rsidRPr="004D1A06" w:rsidRDefault="00117CA0" w:rsidP="002D0553">
            <w:pPr>
              <w:ind w:left="284"/>
              <w:jc w:val="both"/>
              <w:rPr>
                <w:sz w:val="22"/>
              </w:rPr>
            </w:pPr>
            <w:r>
              <w:rPr>
                <w:sz w:val="22"/>
              </w:rPr>
              <w:t xml:space="preserve">a) carcinogenic or mutagenic or toxic to reproduction belonging to Category 1a (known), Category 1b (assumed) or Category 2 (suspected), or</w:t>
            </w:r>
            <w:r>
              <w:rPr>
                <w:sz w:val="22"/>
              </w:rPr>
              <w:t xml:space="preserve"> </w:t>
            </w:r>
          </w:p>
          <w:p w14:paraId="5B51CB79" w14:textId="77777777" w:rsidR="00117CA0" w:rsidRDefault="00117CA0" w:rsidP="002D0553">
            <w:pPr>
              <w:ind w:left="284"/>
              <w:jc w:val="both"/>
              <w:rPr>
                <w:sz w:val="22"/>
              </w:rPr>
            </w:pPr>
            <w:r>
              <w:rPr>
                <w:sz w:val="22"/>
              </w:rPr>
              <w:t xml:space="preserve">b) highly toxic to aquatic organisms with acute or long-term adverse effects belonging to Category 1.</w:t>
            </w:r>
          </w:p>
          <w:p w14:paraId="6BF7BA32" w14:textId="77777777" w:rsidR="00117CA0" w:rsidRDefault="00117CA0" w:rsidP="002D0553">
            <w:pPr>
              <w:ind w:firstLine="284"/>
              <w:jc w:val="both"/>
              <w:rPr>
                <w:sz w:val="22"/>
                <w:szCs w:val="22"/>
              </w:rPr>
            </w:pPr>
            <w:r>
              <w:rPr>
                <w:sz w:val="22"/>
              </w:rPr>
              <w:t xml:space="preserve">§ 3.</w:t>
            </w:r>
            <w:r>
              <w:rPr>
                <w:sz w:val="22"/>
              </w:rPr>
              <w:t xml:space="preserve"> </w:t>
            </w:r>
            <w:r>
              <w:rPr>
                <w:sz w:val="22"/>
              </w:rPr>
              <w:t xml:space="preserve">At the request of the Minister(s), the Administration shall submit a proposal to update Annex 1 containing the information referred to in Annex 2 at least every two years from the date of publication of this Decree.</w:t>
            </w:r>
          </w:p>
          <w:p w14:paraId="19AEF6D2" w14:textId="77777777" w:rsidR="00117CA0" w:rsidRPr="004D1A06" w:rsidRDefault="00117CA0" w:rsidP="002D0553">
            <w:pPr>
              <w:ind w:left="72" w:firstLine="284"/>
              <w:jc w:val="both"/>
              <w:rPr>
                <w:sz w:val="22"/>
                <w:szCs w:val="22"/>
              </w:rPr>
            </w:pPr>
            <w:r>
              <w:rPr>
                <w:sz w:val="22"/>
              </w:rPr>
              <w:t xml:space="preserve">§ 4.</w:t>
            </w:r>
            <w:r>
              <w:rPr>
                <w:sz w:val="22"/>
              </w:rPr>
              <w:t xml:space="preserve"> </w:t>
            </w:r>
            <w:r>
              <w:rPr>
                <w:sz w:val="22"/>
              </w:rPr>
              <w:t xml:space="preserve">The prohibition referred to in Article 3, § 1, of this Decree shall apply to all substances listed in Annex 1 on the date fixed by the Minister(s) and at least 3 months after publication in the Belgian Official Gazette of the Ministerial Decree amending the list set out in Annex 1.</w:t>
            </w:r>
          </w:p>
        </w:tc>
      </w:tr>
      <w:tr w:rsidR="00117CA0" w:rsidRPr="004F1A74" w14:paraId="78C1FC12" w14:textId="77777777" w:rsidTr="00117CA0">
        <w:tc>
          <w:tcPr>
            <w:tcW w:w="9212" w:type="dxa"/>
          </w:tcPr>
          <w:p w14:paraId="67BA7FB4" w14:textId="77777777" w:rsidR="00117CA0" w:rsidRPr="004D1A06" w:rsidRDefault="00117CA0" w:rsidP="002D0553">
            <w:pPr>
              <w:jc w:val="both"/>
              <w:rPr>
                <w:b/>
                <w:bCs/>
                <w:sz w:val="22"/>
                <w:lang w:val="fr-BE"/>
              </w:rPr>
            </w:pPr>
          </w:p>
        </w:tc>
      </w:tr>
      <w:tr w:rsidR="00117CA0" w:rsidRPr="004F1A74" w14:paraId="4F61B3AB" w14:textId="77777777" w:rsidTr="00117CA0">
        <w:tc>
          <w:tcPr>
            <w:tcW w:w="9212" w:type="dxa"/>
          </w:tcPr>
          <w:p w14:paraId="44F03D05" w14:textId="77777777" w:rsidR="00117CA0" w:rsidRPr="002D5CD1" w:rsidRDefault="00117CA0" w:rsidP="002D0553">
            <w:pPr>
              <w:jc w:val="both"/>
              <w:rPr>
                <w:b/>
                <w:bCs/>
                <w:sz w:val="22"/>
              </w:rPr>
            </w:pPr>
            <w:r>
              <w:rPr>
                <w:sz w:val="22"/>
                <w:b/>
              </w:rPr>
              <w:t xml:space="preserve">Article 5.</w:t>
            </w:r>
            <w:r>
              <w:rPr>
                <w:sz w:val="22"/>
                <w:b/>
              </w:rPr>
              <w:t xml:space="preserve"> </w:t>
            </w:r>
            <w:r>
              <w:rPr>
                <w:sz w:val="22"/>
              </w:rPr>
              <w:t xml:space="preserve">This Decree shall enter into force three months after its publication, except insofar as it concerns the substance marked with an asterisk (*) in the Annex to this Decree, for which it enters into force on 1 October 2023.</w:t>
            </w:r>
            <w:r>
              <w:rPr>
                <w:sz w:val="22"/>
              </w:rPr>
              <w:t xml:space="preserve"> </w:t>
            </w:r>
          </w:p>
        </w:tc>
      </w:tr>
      <w:tr w:rsidR="00117CA0" w:rsidRPr="004F1A74" w14:paraId="32A1B0A6" w14:textId="77777777" w:rsidTr="00117CA0">
        <w:tc>
          <w:tcPr>
            <w:tcW w:w="9212" w:type="dxa"/>
          </w:tcPr>
          <w:p w14:paraId="72369291" w14:textId="77777777" w:rsidR="00117CA0" w:rsidRPr="0009513C" w:rsidRDefault="00117CA0" w:rsidP="002D0553">
            <w:pPr>
              <w:jc w:val="both"/>
              <w:rPr>
                <w:b/>
                <w:bCs/>
                <w:sz w:val="22"/>
                <w:lang w:val="fr-FR"/>
              </w:rPr>
            </w:pPr>
          </w:p>
        </w:tc>
      </w:tr>
      <w:tr w:rsidR="00117CA0" w:rsidRPr="004F1A74" w14:paraId="7FD06FEC" w14:textId="77777777" w:rsidTr="00117CA0">
        <w:tc>
          <w:tcPr>
            <w:tcW w:w="9212" w:type="dxa"/>
          </w:tcPr>
          <w:p w14:paraId="0002A068" w14:textId="2FFA7DC9" w:rsidR="00117CA0" w:rsidRPr="0009513C" w:rsidRDefault="00117CA0" w:rsidP="002D0553">
            <w:pPr>
              <w:jc w:val="both"/>
              <w:rPr>
                <w:sz w:val="22"/>
              </w:rPr>
            </w:pPr>
            <w:r>
              <w:rPr>
                <w:sz w:val="22"/>
                <w:b/>
              </w:rPr>
              <w:t xml:space="preserve">Article 6.</w:t>
            </w:r>
            <w:r>
              <w:rPr>
                <w:sz w:val="22"/>
                <w:b/>
              </w:rPr>
              <w:t xml:space="preserve"> </w:t>
            </w:r>
            <w:r>
              <w:rPr>
                <w:sz w:val="22"/>
              </w:rPr>
              <w:t xml:space="preserve">The Minister for Public Health and the Minister for the Environment shall be responsible, each as far as they are concerned, for the implementation of this Decree.</w:t>
            </w:r>
          </w:p>
        </w:tc>
      </w:tr>
      <w:tr w:rsidR="00117CA0" w:rsidRPr="004F1A74" w14:paraId="36E5C9D3" w14:textId="77777777" w:rsidTr="00117CA0">
        <w:tc>
          <w:tcPr>
            <w:tcW w:w="9212" w:type="dxa"/>
          </w:tcPr>
          <w:p w14:paraId="7A62AF23" w14:textId="77777777" w:rsidR="00117CA0" w:rsidRPr="00117CA0" w:rsidRDefault="00117CA0" w:rsidP="002D0553">
            <w:pPr>
              <w:jc w:val="both"/>
              <w:rPr>
                <w:sz w:val="22"/>
                <w:lang w:val="fr-FR"/>
              </w:rPr>
            </w:pPr>
          </w:p>
        </w:tc>
      </w:tr>
      <w:tr w:rsidR="00117CA0" w:rsidRPr="00117CA0" w14:paraId="2A2B67C6" w14:textId="77777777" w:rsidTr="00117CA0">
        <w:tc>
          <w:tcPr>
            <w:tcW w:w="9212" w:type="dxa"/>
          </w:tcPr>
          <w:p w14:paraId="7425D865" w14:textId="77777777" w:rsidR="00311A4F" w:rsidRDefault="00311A4F" w:rsidP="00311A4F">
            <w:pPr>
              <w:jc w:val="center"/>
              <w:rPr>
                <w:sz w:val="22"/>
                <w:lang w:val="fr-FR"/>
              </w:rPr>
            </w:pPr>
          </w:p>
          <w:p w14:paraId="67F8FF19" w14:textId="77777777" w:rsidR="00311A4F" w:rsidRDefault="00311A4F" w:rsidP="00311A4F">
            <w:pPr>
              <w:jc w:val="center"/>
              <w:rPr>
                <w:sz w:val="22"/>
                <w:lang w:val="fr-FR"/>
              </w:rPr>
            </w:pPr>
          </w:p>
          <w:p w14:paraId="623519CB" w14:textId="6AEB8277" w:rsidR="00117CA0" w:rsidRPr="00117CA0" w:rsidRDefault="00117CA0" w:rsidP="00311A4F">
            <w:pPr>
              <w:jc w:val="center"/>
              <w:rPr>
                <w:sz w:val="22"/>
              </w:rPr>
            </w:pPr>
            <w:r>
              <w:rPr>
                <w:sz w:val="22"/>
              </w:rPr>
              <w:t xml:space="preserve">Issued xxx, at</w:t>
            </w:r>
          </w:p>
        </w:tc>
      </w:tr>
      <w:tr w:rsidR="00117CA0" w:rsidRPr="00117CA0" w14:paraId="48123767" w14:textId="77777777" w:rsidTr="00117CA0">
        <w:tc>
          <w:tcPr>
            <w:tcW w:w="9212" w:type="dxa"/>
          </w:tcPr>
          <w:p w14:paraId="5E38E767" w14:textId="77777777" w:rsidR="00117CA0" w:rsidRPr="00117CA0" w:rsidRDefault="00117CA0" w:rsidP="00311A4F">
            <w:pPr>
              <w:jc w:val="center"/>
              <w:rPr>
                <w:sz w:val="22"/>
                <w:lang w:val="fr-FR"/>
              </w:rPr>
            </w:pPr>
          </w:p>
        </w:tc>
      </w:tr>
      <w:tr w:rsidR="00117CA0" w:rsidRPr="00117CA0" w14:paraId="3B7FAE1A" w14:textId="77777777" w:rsidTr="00117CA0">
        <w:tc>
          <w:tcPr>
            <w:tcW w:w="9212" w:type="dxa"/>
          </w:tcPr>
          <w:p w14:paraId="7DE45437" w14:textId="77777777" w:rsidR="00117CA0" w:rsidRPr="00117CA0" w:rsidRDefault="00117CA0" w:rsidP="00311A4F">
            <w:pPr>
              <w:jc w:val="center"/>
              <w:rPr>
                <w:sz w:val="22"/>
                <w:lang w:val="fr-FR"/>
              </w:rPr>
            </w:pPr>
          </w:p>
        </w:tc>
      </w:tr>
      <w:tr w:rsidR="00117CA0" w:rsidRPr="00117CA0" w14:paraId="1B44D927" w14:textId="77777777" w:rsidTr="00117CA0">
        <w:tc>
          <w:tcPr>
            <w:tcW w:w="9212" w:type="dxa"/>
          </w:tcPr>
          <w:p w14:paraId="71C48590" w14:textId="77777777" w:rsidR="00117CA0" w:rsidRPr="00117CA0" w:rsidRDefault="00117CA0" w:rsidP="00311A4F">
            <w:pPr>
              <w:jc w:val="center"/>
              <w:rPr>
                <w:sz w:val="22"/>
                <w:lang w:val="fr-FR"/>
              </w:rPr>
            </w:pPr>
          </w:p>
        </w:tc>
      </w:tr>
      <w:tr w:rsidR="00117CA0" w:rsidRPr="00117CA0" w14:paraId="5A7EB54C" w14:textId="77777777" w:rsidTr="00117CA0">
        <w:tc>
          <w:tcPr>
            <w:tcW w:w="9212" w:type="dxa"/>
          </w:tcPr>
          <w:p w14:paraId="3B4B801D" w14:textId="77777777" w:rsidR="00117CA0" w:rsidRPr="00117CA0" w:rsidRDefault="00117CA0" w:rsidP="00311A4F">
            <w:pPr>
              <w:jc w:val="center"/>
              <w:rPr>
                <w:sz w:val="22"/>
              </w:rPr>
            </w:pPr>
            <w:r>
              <w:rPr>
                <w:sz w:val="22"/>
              </w:rPr>
              <w:t xml:space="preserve">By the King:</w:t>
            </w:r>
          </w:p>
        </w:tc>
      </w:tr>
      <w:tr w:rsidR="00117CA0" w:rsidRPr="00117CA0" w14:paraId="2F599BFC" w14:textId="77777777" w:rsidTr="00117CA0">
        <w:tc>
          <w:tcPr>
            <w:tcW w:w="9212" w:type="dxa"/>
          </w:tcPr>
          <w:p w14:paraId="49FDF981" w14:textId="77777777" w:rsidR="00117CA0" w:rsidRPr="00117CA0" w:rsidRDefault="00117CA0" w:rsidP="00311A4F">
            <w:pPr>
              <w:jc w:val="center"/>
              <w:rPr>
                <w:sz w:val="22"/>
                <w:lang w:val="fr-FR"/>
              </w:rPr>
            </w:pPr>
          </w:p>
        </w:tc>
      </w:tr>
      <w:tr w:rsidR="00117CA0" w:rsidRPr="00117CA0" w14:paraId="7A095E76" w14:textId="77777777" w:rsidTr="00117CA0">
        <w:tc>
          <w:tcPr>
            <w:tcW w:w="9212" w:type="dxa"/>
          </w:tcPr>
          <w:p w14:paraId="1BC1EF63" w14:textId="77777777" w:rsidR="00117CA0" w:rsidRPr="00117CA0" w:rsidRDefault="00117CA0" w:rsidP="00311A4F">
            <w:pPr>
              <w:jc w:val="center"/>
              <w:rPr>
                <w:sz w:val="22"/>
                <w:lang w:val="fr-FR"/>
              </w:rPr>
            </w:pPr>
          </w:p>
        </w:tc>
      </w:tr>
      <w:tr w:rsidR="00117CA0" w:rsidRPr="004F1A74" w14:paraId="5F29B9B8" w14:textId="77777777" w:rsidTr="00117CA0">
        <w:tc>
          <w:tcPr>
            <w:tcW w:w="9212" w:type="dxa"/>
          </w:tcPr>
          <w:p w14:paraId="6E33CCC0" w14:textId="77777777" w:rsidR="00117CA0" w:rsidRDefault="00117CA0" w:rsidP="00311A4F">
            <w:pPr>
              <w:jc w:val="center"/>
              <w:rPr>
                <w:sz w:val="22"/>
              </w:rPr>
            </w:pPr>
            <w:r>
              <w:rPr>
                <w:sz w:val="22"/>
              </w:rPr>
              <w:t xml:space="preserve">The Minister for Public Health,</w:t>
            </w:r>
          </w:p>
          <w:p w14:paraId="21202AA4" w14:textId="77777777" w:rsidR="00117CA0" w:rsidRDefault="00117CA0" w:rsidP="00311A4F">
            <w:pPr>
              <w:jc w:val="center"/>
              <w:rPr>
                <w:sz w:val="22"/>
                <w:lang w:val="fr-FR"/>
              </w:rPr>
            </w:pPr>
          </w:p>
          <w:p w14:paraId="17415171" w14:textId="77777777" w:rsidR="00117CA0" w:rsidRDefault="00117CA0" w:rsidP="00311A4F">
            <w:pPr>
              <w:jc w:val="center"/>
              <w:rPr>
                <w:sz w:val="22"/>
                <w:lang w:val="fr-FR"/>
              </w:rPr>
            </w:pPr>
          </w:p>
          <w:p w14:paraId="473CC63D" w14:textId="77777777" w:rsidR="00117CA0" w:rsidRDefault="00117CA0" w:rsidP="00311A4F">
            <w:pPr>
              <w:jc w:val="center"/>
              <w:rPr>
                <w:sz w:val="22"/>
                <w:lang w:val="fr-FR"/>
              </w:rPr>
            </w:pPr>
          </w:p>
          <w:p w14:paraId="3BA3B92F" w14:textId="77777777" w:rsidR="00117CA0" w:rsidRDefault="00117CA0" w:rsidP="00311A4F">
            <w:pPr>
              <w:jc w:val="center"/>
              <w:rPr>
                <w:sz w:val="22"/>
                <w:lang w:val="fr-FR"/>
              </w:rPr>
            </w:pPr>
          </w:p>
          <w:p w14:paraId="5479C93B" w14:textId="018DE556" w:rsidR="00117CA0" w:rsidRPr="00117CA0" w:rsidRDefault="00117CA0" w:rsidP="00311A4F">
            <w:pPr>
              <w:jc w:val="center"/>
              <w:rPr>
                <w:sz w:val="22"/>
                <w:lang w:val="fr-FR"/>
              </w:rPr>
            </w:pPr>
          </w:p>
        </w:tc>
      </w:tr>
      <w:tr w:rsidR="00117CA0" w:rsidRPr="00117CA0" w14:paraId="4A9B609D" w14:textId="77777777" w:rsidTr="00117CA0">
        <w:tc>
          <w:tcPr>
            <w:tcW w:w="9212" w:type="dxa"/>
          </w:tcPr>
          <w:p w14:paraId="7CDF1C4F" w14:textId="77777777" w:rsidR="00117CA0" w:rsidRPr="00117CA0" w:rsidRDefault="00117CA0" w:rsidP="00311A4F">
            <w:pPr>
              <w:jc w:val="center"/>
              <w:rPr>
                <w:sz w:val="22"/>
                <w:lang w:val="fr-FR"/>
              </w:rPr>
            </w:pPr>
          </w:p>
          <w:p w14:paraId="7CABD499" w14:textId="1836FD50" w:rsidR="00117CA0" w:rsidRDefault="00117CA0" w:rsidP="00311A4F">
            <w:pPr>
              <w:jc w:val="center"/>
              <w:rPr>
                <w:sz w:val="22"/>
              </w:rPr>
            </w:pPr>
            <w:r>
              <w:rPr>
                <w:sz w:val="22"/>
              </w:rPr>
              <w:t xml:space="preserve">F. VANDENBROUCKE</w:t>
            </w:r>
          </w:p>
          <w:p w14:paraId="705DA4F5" w14:textId="77777777" w:rsidR="00117CA0" w:rsidRDefault="00117CA0" w:rsidP="00311A4F">
            <w:pPr>
              <w:jc w:val="center"/>
              <w:rPr>
                <w:sz w:val="22"/>
                <w:lang w:val="fr-FR"/>
              </w:rPr>
            </w:pPr>
          </w:p>
          <w:p w14:paraId="11C32637" w14:textId="77777777" w:rsidR="00117CA0" w:rsidRDefault="00117CA0" w:rsidP="00311A4F">
            <w:pPr>
              <w:jc w:val="center"/>
              <w:rPr>
                <w:sz w:val="22"/>
                <w:lang w:val="fr-FR"/>
              </w:rPr>
            </w:pPr>
          </w:p>
          <w:p w14:paraId="164E0826" w14:textId="538E363A" w:rsidR="00117CA0" w:rsidRPr="00117CA0" w:rsidRDefault="00117CA0" w:rsidP="00311A4F">
            <w:pPr>
              <w:jc w:val="center"/>
              <w:rPr>
                <w:sz w:val="22"/>
                <w:lang w:val="fr-FR"/>
              </w:rPr>
            </w:pPr>
          </w:p>
        </w:tc>
      </w:tr>
      <w:tr w:rsidR="00117CA0" w:rsidRPr="00117CA0" w14:paraId="3D3108F4" w14:textId="77777777" w:rsidTr="00117CA0">
        <w:tc>
          <w:tcPr>
            <w:tcW w:w="9212" w:type="dxa"/>
          </w:tcPr>
          <w:p w14:paraId="74E608C1" w14:textId="1304089C" w:rsidR="00117CA0" w:rsidRDefault="00117CA0" w:rsidP="00311A4F">
            <w:pPr>
              <w:jc w:val="center"/>
              <w:rPr>
                <w:sz w:val="22"/>
              </w:rPr>
            </w:pPr>
            <w:r>
              <w:rPr>
                <w:sz w:val="22"/>
              </w:rPr>
              <w:t xml:space="preserve">The Minister for Climate, the Environment, Sustainable Development and the Green Deal,</w:t>
            </w:r>
          </w:p>
          <w:p w14:paraId="1CCB0105" w14:textId="32F2E712" w:rsidR="00117CA0" w:rsidRDefault="00117CA0" w:rsidP="00311A4F">
            <w:pPr>
              <w:jc w:val="center"/>
              <w:rPr>
                <w:sz w:val="22"/>
                <w:lang w:val="fr-FR"/>
              </w:rPr>
            </w:pPr>
          </w:p>
          <w:p w14:paraId="2B97779B" w14:textId="6CD43585" w:rsidR="00117CA0" w:rsidRDefault="00117CA0" w:rsidP="00311A4F">
            <w:pPr>
              <w:jc w:val="center"/>
              <w:rPr>
                <w:sz w:val="22"/>
                <w:lang w:val="fr-FR"/>
              </w:rPr>
            </w:pPr>
          </w:p>
          <w:p w14:paraId="241622B5" w14:textId="003E491B" w:rsidR="00117CA0" w:rsidRDefault="00117CA0" w:rsidP="00311A4F">
            <w:pPr>
              <w:jc w:val="center"/>
              <w:rPr>
                <w:sz w:val="22"/>
                <w:lang w:val="fr-FR"/>
              </w:rPr>
            </w:pPr>
          </w:p>
          <w:p w14:paraId="708751FE" w14:textId="12617E88" w:rsidR="00117CA0" w:rsidRDefault="00117CA0" w:rsidP="00311A4F">
            <w:pPr>
              <w:jc w:val="center"/>
              <w:rPr>
                <w:sz w:val="22"/>
                <w:lang w:val="fr-FR"/>
              </w:rPr>
            </w:pPr>
          </w:p>
          <w:p w14:paraId="413FCFA5" w14:textId="77777777" w:rsidR="00117CA0" w:rsidRDefault="00117CA0" w:rsidP="00311A4F">
            <w:pPr>
              <w:jc w:val="center"/>
              <w:rPr>
                <w:sz w:val="22"/>
                <w:lang w:val="fr-FR"/>
              </w:rPr>
            </w:pPr>
          </w:p>
          <w:p w14:paraId="46F13866" w14:textId="77777777" w:rsidR="00117CA0" w:rsidRDefault="00117CA0" w:rsidP="00311A4F">
            <w:pPr>
              <w:jc w:val="center"/>
              <w:rPr>
                <w:sz w:val="22"/>
                <w:lang w:val="fr-FR"/>
              </w:rPr>
            </w:pPr>
          </w:p>
          <w:p w14:paraId="4571E37D" w14:textId="54FC2F44" w:rsidR="00117CA0" w:rsidRPr="00117CA0" w:rsidRDefault="00117CA0" w:rsidP="00311A4F">
            <w:pPr>
              <w:jc w:val="center"/>
              <w:rPr>
                <w:sz w:val="22"/>
              </w:rPr>
            </w:pPr>
            <w:r>
              <w:rPr>
                <w:sz w:val="22"/>
              </w:rPr>
              <w:t xml:space="preserve">Z.</w:t>
            </w:r>
            <w:r>
              <w:rPr>
                <w:sz w:val="22"/>
              </w:rPr>
              <w:t xml:space="preserve"> </w:t>
            </w:r>
            <w:r>
              <w:rPr>
                <w:sz w:val="22"/>
              </w:rPr>
              <w:t xml:space="preserve">KHATTABI</w:t>
            </w:r>
          </w:p>
        </w:tc>
      </w:tr>
    </w:tbl>
    <w:p w14:paraId="58AA86AC" w14:textId="77777777" w:rsidR="00311A4F" w:rsidRDefault="00311A4F">
      <w:r>
        <w:br w:type="page"/>
      </w:r>
    </w:p>
    <w:tbl>
      <w:tblPr>
        <w:tblW w:w="9212" w:type="dxa"/>
        <w:tblCellMar>
          <w:left w:w="70" w:type="dxa"/>
          <w:right w:w="70" w:type="dxa"/>
        </w:tblCellMar>
        <w:tblLook w:val="0000" w:firstRow="0" w:lastRow="0" w:firstColumn="0" w:lastColumn="0" w:noHBand="0" w:noVBand="0"/>
      </w:tblPr>
      <w:tblGrid>
        <w:gridCol w:w="9212"/>
      </w:tblGrid>
      <w:tr w:rsidR="00117CA0" w:rsidRPr="004F1A74" w14:paraId="3338749C" w14:textId="77777777" w:rsidTr="00117CA0">
        <w:tc>
          <w:tcPr>
            <w:tcW w:w="9212" w:type="dxa"/>
          </w:tcPr>
          <w:p w14:paraId="0F044E31" w14:textId="07E0DDD2" w:rsidR="00117CA0" w:rsidRPr="00311A4F" w:rsidRDefault="00117CA0" w:rsidP="002D0553">
            <w:pPr>
              <w:jc w:val="both"/>
              <w:rPr>
                <w:b/>
                <w:bCs/>
                <w:sz w:val="22"/>
              </w:rPr>
            </w:pPr>
            <w:r>
              <w:rPr>
                <w:b/>
                <w:sz w:val="22"/>
              </w:rPr>
              <w:t xml:space="preserve">Seen to be annexed to our Decree</w:t>
            </w:r>
          </w:p>
        </w:tc>
      </w:tr>
      <w:tr w:rsidR="00117CA0" w:rsidRPr="004F1A74" w14:paraId="46DA1069" w14:textId="77777777" w:rsidTr="00117CA0">
        <w:tc>
          <w:tcPr>
            <w:tcW w:w="9212" w:type="dxa"/>
          </w:tcPr>
          <w:p w14:paraId="17DE511A" w14:textId="77777777" w:rsidR="00117CA0" w:rsidRPr="00117CA0" w:rsidRDefault="00117CA0" w:rsidP="002D0553">
            <w:pPr>
              <w:jc w:val="both"/>
              <w:rPr>
                <w:sz w:val="22"/>
                <w:lang w:val="fr-FR"/>
              </w:rPr>
            </w:pPr>
          </w:p>
        </w:tc>
      </w:tr>
      <w:tr w:rsidR="00117CA0" w:rsidRPr="004F1A74" w14:paraId="07E3697F" w14:textId="77777777" w:rsidTr="00117CA0">
        <w:tc>
          <w:tcPr>
            <w:tcW w:w="9212" w:type="dxa"/>
          </w:tcPr>
          <w:p w14:paraId="36B46E4D" w14:textId="540AD9B9" w:rsidR="00117CA0" w:rsidRDefault="00117CA0" w:rsidP="002D0553">
            <w:pPr>
              <w:jc w:val="both"/>
              <w:rPr>
                <w:b/>
                <w:bCs/>
                <w:sz w:val="22"/>
              </w:rPr>
            </w:pPr>
            <w:r>
              <w:rPr>
                <w:b/>
                <w:sz w:val="22"/>
              </w:rPr>
              <w:t xml:space="preserve">Annex 1.</w:t>
            </w:r>
            <w:r>
              <w:rPr>
                <w:b/>
                <w:sz w:val="22"/>
              </w:rPr>
              <w:t xml:space="preserve"> </w:t>
            </w:r>
            <w:r>
              <w:rPr>
                <w:b/>
                <w:sz w:val="22"/>
              </w:rPr>
              <w:t xml:space="preserve">List of hazardous substances prohibited for export</w:t>
            </w:r>
            <w:r>
              <w:rPr>
                <w:b/>
                <w:sz w:val="22"/>
              </w:rPr>
              <w:t xml:space="preserve"> </w:t>
            </w:r>
          </w:p>
          <w:p w14:paraId="23E24B8B" w14:textId="77777777" w:rsidR="00CF24A1" w:rsidRPr="00CF24A1" w:rsidRDefault="00CF24A1" w:rsidP="00CF24A1">
            <w:pPr>
              <w:jc w:val="both"/>
              <w:rPr>
                <w:sz w:val="22"/>
              </w:rPr>
            </w:pPr>
            <w:r>
              <w:rPr>
                <w:sz w:val="22"/>
              </w:rPr>
              <w:t xml:space="preserve">(1)</w:t>
            </w:r>
            <w:r>
              <w:rPr>
                <w:sz w:val="22"/>
              </w:rPr>
              <w:t xml:space="preserve"> </w:t>
            </w:r>
            <w:r>
              <w:rPr>
                <w:sz w:val="22"/>
              </w:rPr>
              <w:t xml:space="preserve">Acetochlor</w:t>
            </w:r>
          </w:p>
          <w:p w14:paraId="3B78E252" w14:textId="77777777" w:rsidR="00CF24A1" w:rsidRPr="00CF24A1" w:rsidRDefault="00CF24A1" w:rsidP="00CF24A1">
            <w:pPr>
              <w:jc w:val="both"/>
              <w:rPr>
                <w:sz w:val="22"/>
              </w:rPr>
            </w:pPr>
            <w:r>
              <w:rPr>
                <w:sz w:val="22"/>
              </w:rPr>
              <w:t xml:space="preserve">(2)</w:t>
            </w:r>
            <w:r>
              <w:rPr>
                <w:sz w:val="22"/>
              </w:rPr>
              <w:t xml:space="preserve"> </w:t>
            </w:r>
            <w:r>
              <w:rPr>
                <w:sz w:val="22"/>
              </w:rPr>
              <w:t xml:space="preserve">Amitraz</w:t>
            </w:r>
          </w:p>
          <w:p w14:paraId="278F40ED" w14:textId="77777777" w:rsidR="00CF24A1" w:rsidRPr="00CF24A1" w:rsidRDefault="00CF24A1" w:rsidP="00CF24A1">
            <w:pPr>
              <w:jc w:val="both"/>
              <w:rPr>
                <w:sz w:val="22"/>
              </w:rPr>
            </w:pPr>
            <w:r>
              <w:rPr>
                <w:sz w:val="22"/>
              </w:rPr>
              <w:t xml:space="preserve">(3)</w:t>
            </w:r>
            <w:r>
              <w:rPr>
                <w:sz w:val="22"/>
              </w:rPr>
              <w:t xml:space="preserve"> </w:t>
            </w:r>
            <w:r>
              <w:rPr>
                <w:sz w:val="22"/>
              </w:rPr>
              <w:t xml:space="preserve">Chlorothalonil</w:t>
            </w:r>
          </w:p>
          <w:p w14:paraId="3DBA9578" w14:textId="77777777" w:rsidR="00CF24A1" w:rsidRPr="00CF24A1" w:rsidRDefault="00CF24A1" w:rsidP="00CF24A1">
            <w:pPr>
              <w:jc w:val="both"/>
              <w:rPr>
                <w:sz w:val="22"/>
              </w:rPr>
            </w:pPr>
            <w:r>
              <w:rPr>
                <w:sz w:val="22"/>
              </w:rPr>
              <w:t xml:space="preserve">(4)</w:t>
            </w:r>
            <w:r>
              <w:rPr>
                <w:sz w:val="22"/>
              </w:rPr>
              <w:t xml:space="preserve"> </w:t>
            </w:r>
            <w:r>
              <w:rPr>
                <w:sz w:val="22"/>
              </w:rPr>
              <w:t xml:space="preserve">Chlorpropham</w:t>
            </w:r>
            <w:r>
              <w:rPr>
                <w:sz w:val="22"/>
              </w:rPr>
              <w:t xml:space="preserve"> </w:t>
            </w:r>
          </w:p>
          <w:p w14:paraId="3A050079" w14:textId="77777777" w:rsidR="00CF24A1" w:rsidRPr="00CF24A1" w:rsidRDefault="00CF24A1" w:rsidP="00CF24A1">
            <w:pPr>
              <w:jc w:val="both"/>
              <w:rPr>
                <w:sz w:val="22"/>
              </w:rPr>
            </w:pPr>
            <w:r>
              <w:rPr>
                <w:sz w:val="22"/>
              </w:rPr>
              <w:t xml:space="preserve">(5)</w:t>
            </w:r>
            <w:r>
              <w:rPr>
                <w:sz w:val="22"/>
              </w:rPr>
              <w:t xml:space="preserve"> </w:t>
            </w:r>
            <w:r>
              <w:rPr>
                <w:sz w:val="22"/>
              </w:rPr>
              <w:t xml:space="preserve">Desmedipham</w:t>
            </w:r>
          </w:p>
          <w:p w14:paraId="6CF000AA" w14:textId="77777777" w:rsidR="00CF24A1" w:rsidRPr="00CF24A1" w:rsidRDefault="00CF24A1" w:rsidP="00CF24A1">
            <w:pPr>
              <w:jc w:val="both"/>
              <w:rPr>
                <w:sz w:val="22"/>
              </w:rPr>
            </w:pPr>
            <w:r>
              <w:rPr>
                <w:sz w:val="22"/>
              </w:rPr>
              <w:t xml:space="preserve">(6)</w:t>
            </w:r>
            <w:r>
              <w:rPr>
                <w:sz w:val="22"/>
              </w:rPr>
              <w:t xml:space="preserve"> </w:t>
            </w:r>
            <w:r>
              <w:rPr>
                <w:sz w:val="22"/>
              </w:rPr>
              <w:t xml:space="preserve">Dichlorvos</w:t>
            </w:r>
          </w:p>
          <w:p w14:paraId="4E566A60" w14:textId="77777777" w:rsidR="00CF24A1" w:rsidRPr="004F1A74" w:rsidRDefault="00CF24A1" w:rsidP="00CF24A1">
            <w:pPr>
              <w:jc w:val="both"/>
              <w:rPr>
                <w:sz w:val="22"/>
              </w:rPr>
            </w:pPr>
            <w:r>
              <w:rPr>
                <w:sz w:val="22"/>
              </w:rPr>
              <w:t xml:space="preserve">(7)</w:t>
            </w:r>
            <w:r>
              <w:rPr>
                <w:sz w:val="22"/>
              </w:rPr>
              <w:t xml:space="preserve"> </w:t>
            </w:r>
            <w:r>
              <w:rPr>
                <w:sz w:val="22"/>
              </w:rPr>
              <w:t xml:space="preserve">Diquat dibromide</w:t>
            </w:r>
          </w:p>
          <w:p w14:paraId="643BBF03" w14:textId="77777777" w:rsidR="00CF24A1" w:rsidRPr="004F1A74" w:rsidRDefault="00CF24A1" w:rsidP="00CF24A1">
            <w:pPr>
              <w:jc w:val="both"/>
              <w:rPr>
                <w:sz w:val="22"/>
              </w:rPr>
            </w:pPr>
            <w:r>
              <w:rPr>
                <w:sz w:val="22"/>
              </w:rPr>
              <w:t xml:space="preserve">(8)</w:t>
            </w:r>
            <w:r>
              <w:rPr>
                <w:sz w:val="22"/>
              </w:rPr>
              <w:t xml:space="preserve"> </w:t>
            </w:r>
            <w:r>
              <w:rPr>
                <w:sz w:val="22"/>
              </w:rPr>
              <w:t xml:space="preserve">Ferbam</w:t>
            </w:r>
          </w:p>
          <w:p w14:paraId="631BC3A2" w14:textId="77777777" w:rsidR="00CF24A1" w:rsidRPr="004F1A74" w:rsidRDefault="00CF24A1" w:rsidP="00CF24A1">
            <w:pPr>
              <w:jc w:val="both"/>
              <w:rPr>
                <w:sz w:val="22"/>
              </w:rPr>
            </w:pPr>
            <w:r>
              <w:rPr>
                <w:sz w:val="22"/>
              </w:rPr>
              <w:t xml:space="preserve">(9)</w:t>
            </w:r>
            <w:r>
              <w:rPr>
                <w:sz w:val="22"/>
              </w:rPr>
              <w:t xml:space="preserve"> </w:t>
            </w:r>
            <w:r>
              <w:rPr>
                <w:sz w:val="22"/>
              </w:rPr>
              <w:t xml:space="preserve">Fipronil (*)</w:t>
            </w:r>
          </w:p>
          <w:p w14:paraId="3B2D0D1F" w14:textId="77777777" w:rsidR="00CF24A1" w:rsidRPr="004F1A74" w:rsidRDefault="00CF24A1" w:rsidP="00CF24A1">
            <w:pPr>
              <w:jc w:val="both"/>
              <w:rPr>
                <w:sz w:val="22"/>
              </w:rPr>
            </w:pPr>
            <w:r>
              <w:rPr>
                <w:sz w:val="22"/>
              </w:rPr>
              <w:t xml:space="preserve">(10)</w:t>
            </w:r>
            <w:r>
              <w:rPr>
                <w:sz w:val="22"/>
              </w:rPr>
              <w:t xml:space="preserve"> </w:t>
            </w:r>
            <w:r>
              <w:rPr>
                <w:sz w:val="22"/>
              </w:rPr>
              <w:t xml:space="preserve">Iprodione</w:t>
            </w:r>
          </w:p>
          <w:p w14:paraId="146F2B78" w14:textId="4A5D2DFC" w:rsidR="00117CA0" w:rsidRPr="004F1A74" w:rsidRDefault="00CF24A1" w:rsidP="00CF24A1">
            <w:pPr>
              <w:jc w:val="both"/>
              <w:rPr>
                <w:sz w:val="22"/>
              </w:rPr>
            </w:pPr>
            <w:r>
              <w:rPr>
                <w:sz w:val="22"/>
              </w:rPr>
              <w:t xml:space="preserve">(11)</w:t>
            </w:r>
            <w:r>
              <w:rPr>
                <w:sz w:val="22"/>
              </w:rPr>
              <w:t xml:space="preserve"> </w:t>
            </w:r>
            <w:r>
              <w:rPr>
                <w:sz w:val="22"/>
              </w:rPr>
              <w:t xml:space="preserve">Triclosan</w:t>
            </w:r>
          </w:p>
        </w:tc>
      </w:tr>
      <w:tr w:rsidR="00117CA0" w:rsidRPr="004F1A74" w14:paraId="1A0986FE" w14:textId="77777777" w:rsidTr="00117CA0">
        <w:tc>
          <w:tcPr>
            <w:tcW w:w="9212" w:type="dxa"/>
          </w:tcPr>
          <w:p w14:paraId="31D7CAA2" w14:textId="3D764906" w:rsidR="00117CA0" w:rsidRPr="004F1A74" w:rsidRDefault="00117CA0" w:rsidP="002D0553">
            <w:pPr>
              <w:jc w:val="both"/>
              <w:rPr>
                <w:sz w:val="22"/>
                <w:lang w:val="it-IT"/>
              </w:rPr>
            </w:pPr>
          </w:p>
          <w:p w14:paraId="23947B15" w14:textId="77777777" w:rsidR="00311A4F" w:rsidRPr="004F1A74" w:rsidRDefault="00311A4F" w:rsidP="002D0553">
            <w:pPr>
              <w:jc w:val="both"/>
              <w:rPr>
                <w:sz w:val="22"/>
                <w:lang w:val="it-IT"/>
              </w:rPr>
            </w:pPr>
          </w:p>
          <w:p w14:paraId="3A52EAE1" w14:textId="7DE05E74" w:rsidR="00311A4F" w:rsidRPr="004F1A74" w:rsidRDefault="00311A4F" w:rsidP="002D0553">
            <w:pPr>
              <w:jc w:val="both"/>
              <w:rPr>
                <w:sz w:val="22"/>
                <w:lang w:val="it-IT"/>
              </w:rPr>
            </w:pPr>
          </w:p>
        </w:tc>
      </w:tr>
      <w:tr w:rsidR="00117CA0" w:rsidRPr="006357DC" w14:paraId="7A843271" w14:textId="77777777" w:rsidTr="00117CA0">
        <w:tc>
          <w:tcPr>
            <w:tcW w:w="9212" w:type="dxa"/>
          </w:tcPr>
          <w:p w14:paraId="7A8C7C29" w14:textId="77777777" w:rsidR="00117CA0" w:rsidRPr="006357DC" w:rsidRDefault="00117CA0" w:rsidP="00311A4F">
            <w:pPr>
              <w:jc w:val="center"/>
              <w:rPr>
                <w:sz w:val="22"/>
              </w:rPr>
            </w:pPr>
            <w:r>
              <w:rPr>
                <w:sz w:val="22"/>
              </w:rPr>
              <w:t xml:space="preserve">xxx, on</w:t>
            </w:r>
          </w:p>
        </w:tc>
      </w:tr>
      <w:tr w:rsidR="00117CA0" w:rsidRPr="006357DC" w14:paraId="7F7BE07A" w14:textId="77777777" w:rsidTr="00117CA0">
        <w:tc>
          <w:tcPr>
            <w:tcW w:w="9212" w:type="dxa"/>
          </w:tcPr>
          <w:p w14:paraId="3C901B80" w14:textId="77777777" w:rsidR="00117CA0" w:rsidRPr="006357DC" w:rsidRDefault="00117CA0" w:rsidP="00311A4F">
            <w:pPr>
              <w:jc w:val="center"/>
              <w:rPr>
                <w:sz w:val="22"/>
                <w:lang w:val="fr-FR"/>
              </w:rPr>
            </w:pPr>
          </w:p>
        </w:tc>
      </w:tr>
      <w:tr w:rsidR="00117CA0" w:rsidRPr="006357DC" w14:paraId="468351D8" w14:textId="77777777" w:rsidTr="00117CA0">
        <w:tc>
          <w:tcPr>
            <w:tcW w:w="9212" w:type="dxa"/>
          </w:tcPr>
          <w:p w14:paraId="4E5FA680" w14:textId="77777777" w:rsidR="00117CA0" w:rsidRPr="006357DC" w:rsidRDefault="00117CA0" w:rsidP="00311A4F">
            <w:pPr>
              <w:jc w:val="center"/>
              <w:rPr>
                <w:sz w:val="22"/>
                <w:lang w:val="fr-FR"/>
              </w:rPr>
            </w:pPr>
          </w:p>
        </w:tc>
      </w:tr>
      <w:tr w:rsidR="00117CA0" w:rsidRPr="006357DC" w14:paraId="6F19C0BD" w14:textId="77777777" w:rsidTr="00117CA0">
        <w:tc>
          <w:tcPr>
            <w:tcW w:w="9212" w:type="dxa"/>
          </w:tcPr>
          <w:p w14:paraId="36E7A10A" w14:textId="77777777" w:rsidR="00117CA0" w:rsidRPr="006357DC" w:rsidRDefault="00117CA0" w:rsidP="00311A4F">
            <w:pPr>
              <w:jc w:val="center"/>
              <w:rPr>
                <w:sz w:val="22"/>
              </w:rPr>
            </w:pPr>
            <w:r>
              <w:rPr>
                <w:sz w:val="22"/>
              </w:rPr>
              <w:t xml:space="preserve">By the King:</w:t>
            </w:r>
          </w:p>
        </w:tc>
      </w:tr>
      <w:tr w:rsidR="00117CA0" w:rsidRPr="006357DC" w14:paraId="19F85297" w14:textId="77777777" w:rsidTr="00117CA0">
        <w:tc>
          <w:tcPr>
            <w:tcW w:w="9212" w:type="dxa"/>
          </w:tcPr>
          <w:p w14:paraId="4A041722" w14:textId="77777777" w:rsidR="00117CA0" w:rsidRPr="006357DC" w:rsidRDefault="00117CA0" w:rsidP="00311A4F">
            <w:pPr>
              <w:jc w:val="center"/>
              <w:rPr>
                <w:sz w:val="22"/>
                <w:lang w:val="fr-FR"/>
              </w:rPr>
            </w:pPr>
          </w:p>
        </w:tc>
      </w:tr>
      <w:tr w:rsidR="00117CA0" w:rsidRPr="006357DC" w14:paraId="1B231D7A" w14:textId="77777777" w:rsidTr="00117CA0">
        <w:tc>
          <w:tcPr>
            <w:tcW w:w="9212" w:type="dxa"/>
          </w:tcPr>
          <w:p w14:paraId="66851929" w14:textId="77777777" w:rsidR="00117CA0" w:rsidRPr="006357DC" w:rsidRDefault="00117CA0" w:rsidP="00311A4F">
            <w:pPr>
              <w:jc w:val="center"/>
              <w:rPr>
                <w:sz w:val="22"/>
                <w:lang w:val="fr-FR"/>
              </w:rPr>
            </w:pPr>
          </w:p>
        </w:tc>
      </w:tr>
      <w:tr w:rsidR="00117CA0" w:rsidRPr="004F1A74" w14:paraId="6EF69D44" w14:textId="77777777" w:rsidTr="00117CA0">
        <w:tc>
          <w:tcPr>
            <w:tcW w:w="9212" w:type="dxa"/>
          </w:tcPr>
          <w:p w14:paraId="2D2E9428" w14:textId="77777777" w:rsidR="00117CA0" w:rsidRPr="006357DC" w:rsidRDefault="00117CA0" w:rsidP="00311A4F">
            <w:pPr>
              <w:jc w:val="center"/>
              <w:rPr>
                <w:sz w:val="22"/>
              </w:rPr>
            </w:pPr>
            <w:r>
              <w:rPr>
                <w:sz w:val="22"/>
              </w:rPr>
              <w:t xml:space="preserve">The Minister for Public Health,</w:t>
            </w:r>
          </w:p>
        </w:tc>
      </w:tr>
      <w:tr w:rsidR="00117CA0" w:rsidRPr="006357DC" w14:paraId="3EC19279" w14:textId="77777777" w:rsidTr="00117CA0">
        <w:tc>
          <w:tcPr>
            <w:tcW w:w="9212" w:type="dxa"/>
          </w:tcPr>
          <w:p w14:paraId="05FC38A3" w14:textId="77777777" w:rsidR="00117CA0" w:rsidRPr="00117CA0" w:rsidRDefault="00117CA0" w:rsidP="00311A4F">
            <w:pPr>
              <w:jc w:val="center"/>
              <w:rPr>
                <w:sz w:val="22"/>
                <w:lang w:val="fr-FR"/>
              </w:rPr>
            </w:pPr>
          </w:p>
          <w:p w14:paraId="38156D4D" w14:textId="77777777" w:rsidR="00117CA0" w:rsidRPr="00117CA0" w:rsidRDefault="00117CA0" w:rsidP="00311A4F">
            <w:pPr>
              <w:jc w:val="center"/>
              <w:rPr>
                <w:sz w:val="22"/>
                <w:lang w:val="fr-FR"/>
              </w:rPr>
            </w:pPr>
          </w:p>
          <w:p w14:paraId="290F03A2" w14:textId="77777777" w:rsidR="00117CA0" w:rsidRPr="00117CA0" w:rsidRDefault="00117CA0" w:rsidP="00311A4F">
            <w:pPr>
              <w:jc w:val="center"/>
              <w:rPr>
                <w:sz w:val="22"/>
                <w:lang w:val="fr-FR"/>
              </w:rPr>
            </w:pPr>
          </w:p>
          <w:p w14:paraId="400B1D77" w14:textId="77777777" w:rsidR="00117CA0" w:rsidRPr="00117CA0" w:rsidRDefault="00117CA0" w:rsidP="00311A4F">
            <w:pPr>
              <w:jc w:val="center"/>
              <w:rPr>
                <w:sz w:val="22"/>
                <w:lang w:val="fr-FR"/>
              </w:rPr>
            </w:pPr>
          </w:p>
          <w:p w14:paraId="0576403E" w14:textId="77777777" w:rsidR="00117CA0" w:rsidRPr="00117CA0" w:rsidRDefault="00117CA0" w:rsidP="00311A4F">
            <w:pPr>
              <w:jc w:val="center"/>
              <w:rPr>
                <w:sz w:val="22"/>
                <w:lang w:val="fr-FR"/>
              </w:rPr>
            </w:pPr>
          </w:p>
          <w:p w14:paraId="248B2E1E" w14:textId="77777777" w:rsidR="00117CA0" w:rsidRPr="00117CA0" w:rsidRDefault="00117CA0" w:rsidP="00311A4F">
            <w:pPr>
              <w:jc w:val="center"/>
              <w:rPr>
                <w:sz w:val="22"/>
                <w:lang w:val="fr-FR"/>
              </w:rPr>
            </w:pPr>
          </w:p>
          <w:p w14:paraId="0A74F318" w14:textId="77777777" w:rsidR="00117CA0" w:rsidRPr="00117CA0" w:rsidRDefault="00117CA0" w:rsidP="00311A4F">
            <w:pPr>
              <w:jc w:val="center"/>
              <w:rPr>
                <w:sz w:val="22"/>
                <w:lang w:val="fr-FR"/>
              </w:rPr>
            </w:pPr>
          </w:p>
          <w:p w14:paraId="439E8A0E" w14:textId="77777777" w:rsidR="00117CA0" w:rsidRPr="00117CA0" w:rsidRDefault="00117CA0" w:rsidP="00311A4F">
            <w:pPr>
              <w:jc w:val="center"/>
              <w:rPr>
                <w:sz w:val="22"/>
                <w:lang w:val="fr-FR"/>
              </w:rPr>
            </w:pPr>
          </w:p>
          <w:p w14:paraId="3423069D" w14:textId="77777777" w:rsidR="00117CA0" w:rsidRPr="00117CA0" w:rsidRDefault="00117CA0" w:rsidP="00311A4F">
            <w:pPr>
              <w:jc w:val="center"/>
              <w:rPr>
                <w:sz w:val="22"/>
              </w:rPr>
            </w:pPr>
            <w:r>
              <w:rPr>
                <w:sz w:val="22"/>
              </w:rPr>
              <w:t xml:space="preserve">F. VANDENBROUCKE</w:t>
            </w:r>
          </w:p>
        </w:tc>
      </w:tr>
      <w:tr w:rsidR="00117CA0" w14:paraId="289CF581" w14:textId="77777777" w:rsidTr="00117CA0">
        <w:tc>
          <w:tcPr>
            <w:tcW w:w="9212" w:type="dxa"/>
          </w:tcPr>
          <w:p w14:paraId="231CF2D7" w14:textId="77777777" w:rsidR="00117CA0" w:rsidRPr="00117CA0" w:rsidRDefault="00117CA0" w:rsidP="00311A4F">
            <w:pPr>
              <w:jc w:val="center"/>
              <w:rPr>
                <w:sz w:val="22"/>
                <w:lang w:val="fr-FR"/>
              </w:rPr>
            </w:pPr>
          </w:p>
        </w:tc>
      </w:tr>
      <w:tr w:rsidR="00117CA0" w:rsidRPr="004F1A74" w14:paraId="46FE7549" w14:textId="77777777" w:rsidTr="00117CA0">
        <w:tc>
          <w:tcPr>
            <w:tcW w:w="9212" w:type="dxa"/>
          </w:tcPr>
          <w:p w14:paraId="23218FE8" w14:textId="77777777" w:rsidR="00311A4F" w:rsidRDefault="00311A4F" w:rsidP="00311A4F">
            <w:pPr>
              <w:jc w:val="center"/>
              <w:rPr>
                <w:sz w:val="22"/>
                <w:lang w:val="fr-FR"/>
              </w:rPr>
            </w:pPr>
          </w:p>
          <w:p w14:paraId="28830FB6" w14:textId="4FC17888" w:rsidR="00117CA0" w:rsidRPr="00117CA0" w:rsidRDefault="00117CA0" w:rsidP="00311A4F">
            <w:pPr>
              <w:jc w:val="center"/>
              <w:rPr>
                <w:sz w:val="22"/>
              </w:rPr>
            </w:pPr>
            <w:r>
              <w:rPr>
                <w:sz w:val="22"/>
              </w:rPr>
              <w:t xml:space="preserve">The Minister for Climate, the Environment, Sustainable Development and the Green Deal,</w:t>
            </w:r>
          </w:p>
        </w:tc>
      </w:tr>
      <w:tr w:rsidR="00117CA0" w:rsidRPr="00C32F63" w14:paraId="63A1E5DD" w14:textId="77777777" w:rsidTr="00117CA0">
        <w:tc>
          <w:tcPr>
            <w:tcW w:w="9212" w:type="dxa"/>
          </w:tcPr>
          <w:p w14:paraId="2AE645E4" w14:textId="77777777" w:rsidR="00117CA0" w:rsidRPr="00117CA0" w:rsidRDefault="00117CA0" w:rsidP="00311A4F">
            <w:pPr>
              <w:jc w:val="center"/>
              <w:rPr>
                <w:sz w:val="22"/>
                <w:lang w:val="fr-FR"/>
              </w:rPr>
            </w:pPr>
          </w:p>
          <w:p w14:paraId="5F140388" w14:textId="77777777" w:rsidR="00117CA0" w:rsidRPr="00117CA0" w:rsidRDefault="00117CA0" w:rsidP="00311A4F">
            <w:pPr>
              <w:jc w:val="center"/>
              <w:rPr>
                <w:sz w:val="22"/>
                <w:lang w:val="fr-FR"/>
              </w:rPr>
            </w:pPr>
          </w:p>
          <w:p w14:paraId="1DD87218" w14:textId="77777777" w:rsidR="00117CA0" w:rsidRPr="00117CA0" w:rsidRDefault="00117CA0" w:rsidP="00311A4F">
            <w:pPr>
              <w:jc w:val="center"/>
              <w:rPr>
                <w:sz w:val="22"/>
                <w:lang w:val="fr-FR"/>
              </w:rPr>
            </w:pPr>
          </w:p>
          <w:p w14:paraId="139DB599" w14:textId="77777777" w:rsidR="00117CA0" w:rsidRPr="00117CA0" w:rsidRDefault="00117CA0" w:rsidP="00311A4F">
            <w:pPr>
              <w:jc w:val="center"/>
              <w:rPr>
                <w:sz w:val="22"/>
                <w:lang w:val="fr-FR"/>
              </w:rPr>
            </w:pPr>
          </w:p>
          <w:p w14:paraId="244C6EDF" w14:textId="77777777" w:rsidR="00117CA0" w:rsidRPr="00117CA0" w:rsidRDefault="00117CA0" w:rsidP="00311A4F">
            <w:pPr>
              <w:jc w:val="center"/>
              <w:rPr>
                <w:sz w:val="22"/>
                <w:lang w:val="fr-FR"/>
              </w:rPr>
            </w:pPr>
          </w:p>
          <w:p w14:paraId="23463502" w14:textId="77777777" w:rsidR="00117CA0" w:rsidRPr="00117CA0" w:rsidRDefault="00117CA0" w:rsidP="00311A4F">
            <w:pPr>
              <w:jc w:val="center"/>
              <w:rPr>
                <w:sz w:val="22"/>
                <w:lang w:val="fr-FR"/>
              </w:rPr>
            </w:pPr>
          </w:p>
          <w:p w14:paraId="576C58F4" w14:textId="77777777" w:rsidR="00117CA0" w:rsidRPr="00117CA0" w:rsidRDefault="00117CA0" w:rsidP="00311A4F">
            <w:pPr>
              <w:jc w:val="center"/>
              <w:rPr>
                <w:sz w:val="22"/>
                <w:lang w:val="fr-FR"/>
              </w:rPr>
            </w:pPr>
          </w:p>
          <w:p w14:paraId="729D7090" w14:textId="77777777" w:rsidR="00117CA0" w:rsidRPr="00117CA0" w:rsidRDefault="00117CA0" w:rsidP="00311A4F">
            <w:pPr>
              <w:jc w:val="center"/>
              <w:rPr>
                <w:sz w:val="22"/>
                <w:lang w:val="fr-FR"/>
              </w:rPr>
            </w:pPr>
          </w:p>
          <w:p w14:paraId="1CF4420B" w14:textId="77777777" w:rsidR="00117CA0" w:rsidRPr="00117CA0" w:rsidRDefault="00117CA0" w:rsidP="00311A4F">
            <w:pPr>
              <w:jc w:val="center"/>
              <w:rPr>
                <w:sz w:val="22"/>
                <w:lang w:val="fr-FR"/>
              </w:rPr>
            </w:pPr>
          </w:p>
          <w:p w14:paraId="6196720A" w14:textId="77777777" w:rsidR="00117CA0" w:rsidRPr="00117CA0" w:rsidRDefault="00117CA0" w:rsidP="00311A4F">
            <w:pPr>
              <w:jc w:val="center"/>
              <w:rPr>
                <w:sz w:val="22"/>
              </w:rPr>
            </w:pPr>
            <w:r>
              <w:rPr>
                <w:sz w:val="22"/>
              </w:rPr>
              <w:t xml:space="preserve">Z.</w:t>
            </w:r>
            <w:r>
              <w:rPr>
                <w:sz w:val="22"/>
              </w:rPr>
              <w:t xml:space="preserve"> </w:t>
            </w:r>
            <w:r>
              <w:rPr>
                <w:sz w:val="22"/>
              </w:rPr>
              <w:t xml:space="preserve">KHATTABI</w:t>
            </w:r>
          </w:p>
        </w:tc>
      </w:tr>
    </w:tbl>
    <w:p w14:paraId="2F0D68B0" w14:textId="730CB9D9" w:rsidR="00117CA0" w:rsidRDefault="00117CA0">
      <w:pPr>
        <w:rPr>
          <w:lang w:val="fr-BE"/>
        </w:rPr>
      </w:pPr>
    </w:p>
    <w:p w14:paraId="4A42BE15" w14:textId="77777777" w:rsidR="00117CA0" w:rsidRDefault="00117CA0">
      <w:pPr>
        <w:spacing w:after="160" w:line="259" w:lineRule="auto"/>
      </w:pPr>
      <w:r>
        <w:br w:type="page"/>
      </w:r>
    </w:p>
    <w:tbl>
      <w:tblPr>
        <w:tblW w:w="9212" w:type="dxa"/>
        <w:tblCellMar>
          <w:left w:w="70" w:type="dxa"/>
          <w:right w:w="70" w:type="dxa"/>
        </w:tblCellMar>
        <w:tblLook w:val="0000" w:firstRow="0" w:lastRow="0" w:firstColumn="0" w:lastColumn="0" w:noHBand="0" w:noVBand="0"/>
      </w:tblPr>
      <w:tblGrid>
        <w:gridCol w:w="8931"/>
        <w:gridCol w:w="281"/>
      </w:tblGrid>
      <w:tr w:rsidR="00117CA0" w:rsidRPr="004F1A74" w14:paraId="2D9B6C2B" w14:textId="77777777" w:rsidTr="00311A4F">
        <w:trPr>
          <w:gridAfter w:val="1"/>
          <w:wAfter w:w="281" w:type="dxa"/>
        </w:trPr>
        <w:tc>
          <w:tcPr>
            <w:tcW w:w="8931" w:type="dxa"/>
          </w:tcPr>
          <w:p w14:paraId="01AB8F0C" w14:textId="77777777" w:rsidR="00117CA0" w:rsidRPr="006357DC" w:rsidRDefault="00117CA0" w:rsidP="00311A4F">
            <w:pPr>
              <w:jc w:val="both"/>
              <w:rPr>
                <w:b/>
                <w:bCs/>
                <w:sz w:val="22"/>
              </w:rPr>
            </w:pPr>
            <w:r>
              <w:rPr>
                <w:b/>
                <w:sz w:val="22"/>
              </w:rPr>
              <w:t xml:space="preserve">Seen to be annexed to our Decree</w:t>
            </w:r>
          </w:p>
        </w:tc>
      </w:tr>
      <w:tr w:rsidR="00117CA0" w:rsidRPr="004F1A74" w14:paraId="6DD8FBA1" w14:textId="77777777" w:rsidTr="00311A4F">
        <w:trPr>
          <w:gridAfter w:val="1"/>
          <w:wAfter w:w="281" w:type="dxa"/>
        </w:trPr>
        <w:tc>
          <w:tcPr>
            <w:tcW w:w="8931" w:type="dxa"/>
          </w:tcPr>
          <w:p w14:paraId="3E9178ED" w14:textId="77777777" w:rsidR="00117CA0" w:rsidRPr="006357DC" w:rsidRDefault="00117CA0" w:rsidP="00311A4F">
            <w:pPr>
              <w:jc w:val="both"/>
              <w:rPr>
                <w:b/>
                <w:bCs/>
                <w:sz w:val="22"/>
                <w:lang w:val="fr-FR"/>
              </w:rPr>
            </w:pPr>
          </w:p>
        </w:tc>
      </w:tr>
      <w:tr w:rsidR="00117CA0" w:rsidRPr="004F1A74" w14:paraId="6B0B1870" w14:textId="77777777" w:rsidTr="00311A4F">
        <w:trPr>
          <w:gridAfter w:val="1"/>
          <w:wAfter w:w="281" w:type="dxa"/>
        </w:trPr>
        <w:tc>
          <w:tcPr>
            <w:tcW w:w="8931" w:type="dxa"/>
          </w:tcPr>
          <w:p w14:paraId="383A4008" w14:textId="77777777" w:rsidR="00117CA0" w:rsidRPr="006357DC" w:rsidRDefault="00117CA0" w:rsidP="00311A4F">
            <w:pPr>
              <w:jc w:val="both"/>
              <w:rPr>
                <w:b/>
                <w:bCs/>
                <w:sz w:val="22"/>
              </w:rPr>
            </w:pPr>
            <w:r>
              <w:rPr>
                <w:b/>
                <w:sz w:val="22"/>
              </w:rPr>
              <w:t xml:space="preserve">Annex 2.</w:t>
            </w:r>
            <w:r>
              <w:rPr>
                <w:b/>
                <w:sz w:val="22"/>
              </w:rPr>
              <w:t xml:space="preserve"> </w:t>
            </w:r>
            <w:r>
              <w:rPr>
                <w:b/>
                <w:sz w:val="22"/>
              </w:rPr>
              <w:t xml:space="preserve">Proposal to update Annex 1 (referred to in Article 4, § 3)</w:t>
            </w:r>
          </w:p>
          <w:p w14:paraId="2DB74627" w14:textId="77777777" w:rsidR="00117CA0" w:rsidRPr="006357DC" w:rsidRDefault="00117CA0" w:rsidP="00311A4F">
            <w:pPr>
              <w:jc w:val="both"/>
              <w:rPr>
                <w:sz w:val="22"/>
                <w:lang w:val="fr-FR"/>
              </w:rPr>
            </w:pPr>
          </w:p>
        </w:tc>
      </w:tr>
      <w:tr w:rsidR="00117CA0" w:rsidRPr="004F1A74" w14:paraId="587A1083" w14:textId="77777777" w:rsidTr="00311A4F">
        <w:trPr>
          <w:gridAfter w:val="1"/>
          <w:wAfter w:w="281" w:type="dxa"/>
        </w:trPr>
        <w:tc>
          <w:tcPr>
            <w:tcW w:w="8931" w:type="dxa"/>
          </w:tcPr>
          <w:p w14:paraId="50A9EDA5" w14:textId="77777777" w:rsidR="00CF24A1" w:rsidRPr="00CF24A1" w:rsidRDefault="00CF24A1" w:rsidP="00CF24A1">
            <w:pPr>
              <w:jc w:val="both"/>
              <w:rPr>
                <w:sz w:val="22"/>
                <w:szCs w:val="22"/>
              </w:rPr>
            </w:pPr>
            <w:r>
              <w:rPr>
                <w:sz w:val="22"/>
              </w:rPr>
              <w:t xml:space="preserve">The proposal to update Annex 1 shall contain the following information:</w:t>
            </w:r>
            <w:r>
              <w:rPr>
                <w:sz w:val="22"/>
              </w:rPr>
              <w:t xml:space="preserve"> </w:t>
            </w:r>
          </w:p>
          <w:p w14:paraId="220EABBC" w14:textId="77777777" w:rsidR="00CF24A1" w:rsidRPr="00CF24A1" w:rsidRDefault="00CF24A1" w:rsidP="00CF24A1">
            <w:pPr>
              <w:jc w:val="both"/>
              <w:rPr>
                <w:sz w:val="22"/>
                <w:szCs w:val="22"/>
              </w:rPr>
            </w:pPr>
            <w:r>
              <w:rPr>
                <w:sz w:val="22"/>
              </w:rPr>
              <w:t xml:space="preserve">1. hazardous substances listed in Annex I to the PIC Regulations for which export during one of the last two calendar years can be attested;</w:t>
            </w:r>
          </w:p>
          <w:p w14:paraId="27DF0824" w14:textId="77777777" w:rsidR="00CF24A1" w:rsidRPr="00CF24A1" w:rsidRDefault="00CF24A1" w:rsidP="00CF24A1">
            <w:pPr>
              <w:jc w:val="both"/>
              <w:rPr>
                <w:sz w:val="22"/>
                <w:szCs w:val="22"/>
              </w:rPr>
            </w:pPr>
            <w:r>
              <w:rPr>
                <w:sz w:val="22"/>
              </w:rPr>
              <w:t xml:space="preserve">2. the legal act or decision adopted at the European level stating that the hazardous substances are totally prohibited at the European level, or are not approved;</w:t>
            </w:r>
          </w:p>
          <w:p w14:paraId="005BAFF6" w14:textId="32481370" w:rsidR="00117CA0" w:rsidRPr="006357DC" w:rsidRDefault="00CF24A1" w:rsidP="00CF24A1">
            <w:pPr>
              <w:jc w:val="both"/>
              <w:rPr>
                <w:b/>
                <w:sz w:val="22"/>
                <w:szCs w:val="22"/>
              </w:rPr>
            </w:pPr>
            <w:r>
              <w:rPr>
                <w:sz w:val="22"/>
              </w:rPr>
              <w:t xml:space="preserve">3. the classification, in accordance with Annex VI to CLP Regulation No 1272/2008, Classification, labelling and packaging of substances and mixtures to which hazardous substances are subject.</w:t>
            </w:r>
          </w:p>
        </w:tc>
      </w:tr>
      <w:tr w:rsidR="00117CA0" w:rsidRPr="004F1A74" w14:paraId="4D628010" w14:textId="77777777" w:rsidTr="00311A4F">
        <w:trPr>
          <w:gridAfter w:val="1"/>
          <w:wAfter w:w="281" w:type="dxa"/>
        </w:trPr>
        <w:tc>
          <w:tcPr>
            <w:tcW w:w="8931" w:type="dxa"/>
          </w:tcPr>
          <w:p w14:paraId="5DD84882" w14:textId="77777777" w:rsidR="00117CA0" w:rsidRPr="00E40555" w:rsidRDefault="00117CA0" w:rsidP="00311A4F">
            <w:pPr>
              <w:jc w:val="center"/>
              <w:rPr>
                <w:sz w:val="22"/>
                <w:highlight w:val="yellow"/>
                <w:lang w:val="fr-FR"/>
              </w:rPr>
            </w:pPr>
          </w:p>
        </w:tc>
      </w:tr>
      <w:tr w:rsidR="00117CA0" w:rsidRPr="004B7759" w14:paraId="2E2DD7D9" w14:textId="77777777" w:rsidTr="00311A4F">
        <w:trPr>
          <w:gridAfter w:val="1"/>
          <w:wAfter w:w="281" w:type="dxa"/>
        </w:trPr>
        <w:tc>
          <w:tcPr>
            <w:tcW w:w="8931" w:type="dxa"/>
          </w:tcPr>
          <w:p w14:paraId="1FA451BC" w14:textId="77777777" w:rsidR="00311A4F" w:rsidRDefault="00311A4F" w:rsidP="00311A4F">
            <w:pPr>
              <w:jc w:val="center"/>
              <w:rPr>
                <w:sz w:val="22"/>
                <w:lang w:val="fr-BE"/>
              </w:rPr>
            </w:pPr>
          </w:p>
          <w:p w14:paraId="56D7C1AC" w14:textId="565F4343" w:rsidR="00117CA0" w:rsidRPr="004B7759" w:rsidRDefault="00117CA0" w:rsidP="00311A4F">
            <w:pPr>
              <w:jc w:val="center"/>
              <w:rPr>
                <w:sz w:val="22"/>
                <w:highlight w:val="yellow"/>
              </w:rPr>
            </w:pPr>
            <w:r>
              <w:rPr>
                <w:sz w:val="22"/>
              </w:rPr>
              <w:t xml:space="preserve">xxx, on</w:t>
            </w:r>
          </w:p>
        </w:tc>
      </w:tr>
      <w:tr w:rsidR="00117CA0" w:rsidRPr="004B7759" w14:paraId="39CFE756" w14:textId="77777777" w:rsidTr="00311A4F">
        <w:trPr>
          <w:gridAfter w:val="1"/>
          <w:wAfter w:w="281" w:type="dxa"/>
        </w:trPr>
        <w:tc>
          <w:tcPr>
            <w:tcW w:w="8931" w:type="dxa"/>
          </w:tcPr>
          <w:p w14:paraId="2FBE7D0B" w14:textId="77777777" w:rsidR="00117CA0" w:rsidRPr="004B7759" w:rsidRDefault="00117CA0" w:rsidP="002D0553">
            <w:pPr>
              <w:jc w:val="both"/>
              <w:rPr>
                <w:sz w:val="22"/>
                <w:highlight w:val="yellow"/>
                <w:lang w:val="fr-BE"/>
              </w:rPr>
            </w:pPr>
          </w:p>
        </w:tc>
      </w:tr>
      <w:tr w:rsidR="00117CA0" w14:paraId="01221517" w14:textId="77777777" w:rsidTr="00311A4F">
        <w:trPr>
          <w:gridAfter w:val="1"/>
          <w:wAfter w:w="281" w:type="dxa"/>
        </w:trPr>
        <w:tc>
          <w:tcPr>
            <w:tcW w:w="8931" w:type="dxa"/>
          </w:tcPr>
          <w:p w14:paraId="77EAADFF" w14:textId="77777777" w:rsidR="00117CA0" w:rsidRDefault="00117CA0" w:rsidP="002D0553">
            <w:pPr>
              <w:ind w:left="113"/>
              <w:jc w:val="both"/>
              <w:rPr>
                <w:sz w:val="22"/>
                <w:lang w:val="fr-BE"/>
              </w:rPr>
            </w:pPr>
          </w:p>
        </w:tc>
      </w:tr>
      <w:tr w:rsidR="00117CA0" w14:paraId="0AF18BE7" w14:textId="77777777" w:rsidTr="00311A4F">
        <w:trPr>
          <w:gridAfter w:val="1"/>
          <w:wAfter w:w="281" w:type="dxa"/>
        </w:trPr>
        <w:tc>
          <w:tcPr>
            <w:tcW w:w="8931" w:type="dxa"/>
          </w:tcPr>
          <w:p w14:paraId="138FB3CD" w14:textId="77777777" w:rsidR="00117CA0" w:rsidRDefault="00117CA0" w:rsidP="002D0553">
            <w:pPr>
              <w:jc w:val="center"/>
              <w:rPr>
                <w:sz w:val="22"/>
              </w:rPr>
            </w:pPr>
            <w:r>
              <w:rPr>
                <w:sz w:val="22"/>
              </w:rPr>
              <w:t xml:space="preserve">By the King:</w:t>
            </w:r>
          </w:p>
        </w:tc>
      </w:tr>
      <w:tr w:rsidR="00117CA0" w14:paraId="24E32E68" w14:textId="77777777" w:rsidTr="00311A4F">
        <w:trPr>
          <w:gridAfter w:val="1"/>
          <w:wAfter w:w="281" w:type="dxa"/>
        </w:trPr>
        <w:tc>
          <w:tcPr>
            <w:tcW w:w="8931" w:type="dxa"/>
          </w:tcPr>
          <w:p w14:paraId="6F90E662" w14:textId="77777777" w:rsidR="00117CA0" w:rsidRDefault="00117CA0" w:rsidP="002D0553">
            <w:pPr>
              <w:ind w:left="113"/>
              <w:jc w:val="center"/>
              <w:rPr>
                <w:sz w:val="22"/>
                <w:lang w:val="nl-BE"/>
              </w:rPr>
            </w:pPr>
          </w:p>
        </w:tc>
      </w:tr>
      <w:tr w:rsidR="00117CA0" w:rsidRPr="00DA20BD" w14:paraId="2E0E9906" w14:textId="77777777" w:rsidTr="00311A4F">
        <w:trPr>
          <w:gridAfter w:val="1"/>
          <w:wAfter w:w="281" w:type="dxa"/>
        </w:trPr>
        <w:tc>
          <w:tcPr>
            <w:tcW w:w="8931" w:type="dxa"/>
          </w:tcPr>
          <w:p w14:paraId="3A78241F" w14:textId="77777777" w:rsidR="00117CA0" w:rsidRPr="00DA20BD" w:rsidRDefault="00117CA0" w:rsidP="002D0553">
            <w:pPr>
              <w:ind w:left="113"/>
              <w:jc w:val="center"/>
              <w:rPr>
                <w:sz w:val="22"/>
                <w:lang w:val="fr-FR"/>
              </w:rPr>
            </w:pPr>
          </w:p>
        </w:tc>
      </w:tr>
      <w:tr w:rsidR="00117CA0" w:rsidRPr="004F1A74" w14:paraId="0C00EBA7" w14:textId="77777777" w:rsidTr="00311A4F">
        <w:trPr>
          <w:gridAfter w:val="1"/>
          <w:wAfter w:w="281" w:type="dxa"/>
        </w:trPr>
        <w:tc>
          <w:tcPr>
            <w:tcW w:w="8931" w:type="dxa"/>
          </w:tcPr>
          <w:p w14:paraId="011133E8" w14:textId="77777777" w:rsidR="00117CA0" w:rsidRDefault="00117CA0" w:rsidP="002D0553">
            <w:pPr>
              <w:ind w:left="113"/>
              <w:jc w:val="center"/>
              <w:rPr>
                <w:sz w:val="22"/>
              </w:rPr>
            </w:pPr>
            <w:r>
              <w:rPr>
                <w:sz w:val="22"/>
              </w:rPr>
              <w:t xml:space="preserve">The Minister for Public Health,</w:t>
            </w:r>
          </w:p>
        </w:tc>
      </w:tr>
      <w:tr w:rsidR="00117CA0" w14:paraId="79372A29" w14:textId="77777777" w:rsidTr="002D0553">
        <w:tc>
          <w:tcPr>
            <w:tcW w:w="9212" w:type="dxa"/>
            <w:gridSpan w:val="2"/>
          </w:tcPr>
          <w:p w14:paraId="1A5D2B21" w14:textId="77777777" w:rsidR="00117CA0" w:rsidRDefault="00117CA0" w:rsidP="002D0553">
            <w:pPr>
              <w:rPr>
                <w:sz w:val="22"/>
                <w:lang w:val="fr-BE"/>
              </w:rPr>
            </w:pPr>
          </w:p>
          <w:p w14:paraId="034C5E95" w14:textId="77777777" w:rsidR="00117CA0" w:rsidRDefault="00117CA0" w:rsidP="002D0553">
            <w:pPr>
              <w:rPr>
                <w:sz w:val="22"/>
                <w:lang w:val="fr-BE"/>
              </w:rPr>
            </w:pPr>
          </w:p>
          <w:p w14:paraId="23D51DD6" w14:textId="77777777" w:rsidR="00117CA0" w:rsidRDefault="00117CA0" w:rsidP="002D0553">
            <w:pPr>
              <w:rPr>
                <w:sz w:val="22"/>
                <w:lang w:val="fr-BE"/>
              </w:rPr>
            </w:pPr>
          </w:p>
          <w:p w14:paraId="41E65035" w14:textId="77777777" w:rsidR="00117CA0" w:rsidRDefault="00117CA0" w:rsidP="002D0553">
            <w:pPr>
              <w:rPr>
                <w:sz w:val="22"/>
                <w:lang w:val="fr-BE"/>
              </w:rPr>
            </w:pPr>
          </w:p>
          <w:p w14:paraId="3B9FCF98" w14:textId="77777777" w:rsidR="00117CA0" w:rsidRDefault="00117CA0" w:rsidP="002D0553">
            <w:pPr>
              <w:rPr>
                <w:sz w:val="22"/>
                <w:lang w:val="fr-BE"/>
              </w:rPr>
            </w:pPr>
          </w:p>
          <w:p w14:paraId="7CEBBD34" w14:textId="77777777" w:rsidR="00117CA0" w:rsidRDefault="00117CA0" w:rsidP="002D0553">
            <w:pPr>
              <w:rPr>
                <w:sz w:val="22"/>
                <w:lang w:val="fr-BE"/>
              </w:rPr>
            </w:pPr>
          </w:p>
          <w:p w14:paraId="7AC65C90" w14:textId="77777777" w:rsidR="00117CA0" w:rsidRDefault="00117CA0" w:rsidP="002D0553">
            <w:pPr>
              <w:rPr>
                <w:sz w:val="22"/>
                <w:lang w:val="fr-BE"/>
              </w:rPr>
            </w:pPr>
          </w:p>
          <w:p w14:paraId="26D9F713" w14:textId="77777777" w:rsidR="00117CA0" w:rsidRDefault="00117CA0" w:rsidP="002D0553">
            <w:pPr>
              <w:rPr>
                <w:sz w:val="22"/>
                <w:lang w:val="fr-BE"/>
              </w:rPr>
            </w:pPr>
          </w:p>
          <w:p w14:paraId="12E869FF" w14:textId="77777777" w:rsidR="00117CA0" w:rsidRDefault="00117CA0" w:rsidP="002D0553">
            <w:pPr>
              <w:ind w:left="113"/>
              <w:jc w:val="center"/>
              <w:rPr>
                <w:sz w:val="22"/>
              </w:rPr>
            </w:pPr>
            <w:r>
              <w:rPr>
                <w:sz w:val="22"/>
              </w:rPr>
              <w:t xml:space="preserve">F. VANDENBROUCKE</w:t>
            </w:r>
          </w:p>
        </w:tc>
      </w:tr>
      <w:tr w:rsidR="00117CA0" w14:paraId="01262640" w14:textId="77777777" w:rsidTr="002D0553">
        <w:tc>
          <w:tcPr>
            <w:tcW w:w="9212" w:type="dxa"/>
            <w:gridSpan w:val="2"/>
          </w:tcPr>
          <w:p w14:paraId="54594E85" w14:textId="77777777" w:rsidR="00117CA0" w:rsidRDefault="00117CA0" w:rsidP="002D0553">
            <w:pPr>
              <w:rPr>
                <w:sz w:val="22"/>
                <w:lang w:val="fr-BE"/>
              </w:rPr>
            </w:pPr>
          </w:p>
        </w:tc>
      </w:tr>
      <w:tr w:rsidR="00117CA0" w:rsidRPr="004F1A74" w14:paraId="2E926E79" w14:textId="77777777" w:rsidTr="00311A4F">
        <w:trPr>
          <w:gridAfter w:val="1"/>
          <w:wAfter w:w="281" w:type="dxa"/>
        </w:trPr>
        <w:tc>
          <w:tcPr>
            <w:tcW w:w="8931" w:type="dxa"/>
          </w:tcPr>
          <w:p w14:paraId="2F96283D" w14:textId="30C97565" w:rsidR="00117CA0" w:rsidRDefault="00117CA0" w:rsidP="002D0553">
            <w:pPr>
              <w:ind w:left="113"/>
              <w:jc w:val="center"/>
              <w:rPr>
                <w:sz w:val="22"/>
              </w:rPr>
            </w:pPr>
            <w:r>
              <w:rPr>
                <w:sz w:val="22"/>
              </w:rPr>
              <w:t xml:space="preserve">The Minister for Climate, the Environment, Sustainable Development and the Green Deal,</w:t>
            </w:r>
          </w:p>
        </w:tc>
      </w:tr>
      <w:tr w:rsidR="00117CA0" w:rsidRPr="00C32F63" w14:paraId="54BACAE2" w14:textId="77777777" w:rsidTr="002D0553">
        <w:tc>
          <w:tcPr>
            <w:tcW w:w="9212" w:type="dxa"/>
            <w:gridSpan w:val="2"/>
          </w:tcPr>
          <w:p w14:paraId="42A4F3C8" w14:textId="77777777" w:rsidR="00117CA0" w:rsidRDefault="00117CA0" w:rsidP="002D0553">
            <w:pPr>
              <w:rPr>
                <w:sz w:val="22"/>
                <w:lang w:val="fr-BE"/>
              </w:rPr>
            </w:pPr>
          </w:p>
          <w:p w14:paraId="4D291D5B" w14:textId="77777777" w:rsidR="00117CA0" w:rsidRDefault="00117CA0" w:rsidP="002D0553">
            <w:pPr>
              <w:rPr>
                <w:sz w:val="22"/>
                <w:lang w:val="fr-BE"/>
              </w:rPr>
            </w:pPr>
          </w:p>
          <w:p w14:paraId="3D57F830" w14:textId="77777777" w:rsidR="00117CA0" w:rsidRDefault="00117CA0" w:rsidP="002D0553">
            <w:pPr>
              <w:rPr>
                <w:sz w:val="22"/>
                <w:lang w:val="fr-BE"/>
              </w:rPr>
            </w:pPr>
          </w:p>
          <w:p w14:paraId="72D911E4" w14:textId="77777777" w:rsidR="00117CA0" w:rsidRDefault="00117CA0" w:rsidP="002D0553">
            <w:pPr>
              <w:rPr>
                <w:sz w:val="22"/>
                <w:lang w:val="fr-BE"/>
              </w:rPr>
            </w:pPr>
          </w:p>
          <w:p w14:paraId="0C904A79" w14:textId="77777777" w:rsidR="00117CA0" w:rsidRDefault="00117CA0" w:rsidP="002D0553">
            <w:pPr>
              <w:rPr>
                <w:sz w:val="22"/>
                <w:lang w:val="fr-BE"/>
              </w:rPr>
            </w:pPr>
          </w:p>
          <w:p w14:paraId="1685B424" w14:textId="77777777" w:rsidR="00117CA0" w:rsidRDefault="00117CA0" w:rsidP="002D0553">
            <w:pPr>
              <w:rPr>
                <w:sz w:val="22"/>
                <w:lang w:val="fr-BE"/>
              </w:rPr>
            </w:pPr>
          </w:p>
          <w:p w14:paraId="225C74B0" w14:textId="77777777" w:rsidR="00117CA0" w:rsidRDefault="00117CA0" w:rsidP="002D0553">
            <w:pPr>
              <w:rPr>
                <w:sz w:val="22"/>
                <w:lang w:val="fr-BE"/>
              </w:rPr>
            </w:pPr>
          </w:p>
          <w:p w14:paraId="4FF552D6" w14:textId="77777777" w:rsidR="00117CA0" w:rsidRDefault="00117CA0" w:rsidP="002D0553">
            <w:pPr>
              <w:rPr>
                <w:sz w:val="22"/>
                <w:lang w:val="fr-BE"/>
              </w:rPr>
            </w:pPr>
          </w:p>
          <w:p w14:paraId="1177BFD9" w14:textId="77777777" w:rsidR="00117CA0" w:rsidRDefault="00117CA0" w:rsidP="002D0553">
            <w:pPr>
              <w:rPr>
                <w:sz w:val="22"/>
                <w:lang w:val="fr-BE"/>
              </w:rPr>
            </w:pPr>
          </w:p>
          <w:p w14:paraId="3A07B515" w14:textId="77777777" w:rsidR="00117CA0" w:rsidRPr="00C32F63" w:rsidRDefault="00117CA0" w:rsidP="002D0553">
            <w:pPr>
              <w:ind w:left="113"/>
              <w:jc w:val="center"/>
              <w:rPr>
                <w:sz w:val="22"/>
              </w:rPr>
            </w:pPr>
            <w:r>
              <w:rPr>
                <w:sz w:val="22"/>
              </w:rPr>
              <w:t xml:space="preserve">Z.</w:t>
            </w:r>
            <w:r>
              <w:rPr>
                <w:sz w:val="22"/>
              </w:rPr>
              <w:t xml:space="preserve"> </w:t>
            </w:r>
            <w:r>
              <w:rPr>
                <w:sz w:val="22"/>
              </w:rPr>
              <w:t xml:space="preserve">KHATTABI</w:t>
            </w:r>
          </w:p>
        </w:tc>
      </w:tr>
    </w:tbl>
    <w:p w14:paraId="5B9B6208" w14:textId="71884A20" w:rsidR="00117CA0" w:rsidRDefault="00117CA0">
      <w:pPr>
        <w:rPr>
          <w:lang w:val="fr-BE"/>
        </w:rPr>
      </w:pPr>
    </w:p>
    <w:p w14:paraId="1490A8F6" w14:textId="77777777" w:rsidR="00117CA0" w:rsidRDefault="00117CA0">
      <w:pPr>
        <w:spacing w:after="160" w:line="259" w:lineRule="auto"/>
      </w:pPr>
      <w:r>
        <w:br w:type="page"/>
      </w:r>
    </w:p>
    <w:tbl>
      <w:tblPr>
        <w:tblW w:w="9212" w:type="dxa"/>
        <w:tblCellMar>
          <w:left w:w="70" w:type="dxa"/>
          <w:right w:w="70" w:type="dxa"/>
        </w:tblCellMar>
        <w:tblLook w:val="0000" w:firstRow="0" w:lastRow="0" w:firstColumn="0" w:lastColumn="0" w:noHBand="0" w:noVBand="0"/>
      </w:tblPr>
      <w:tblGrid>
        <w:gridCol w:w="8789"/>
        <w:gridCol w:w="423"/>
      </w:tblGrid>
      <w:tr w:rsidR="00117CA0" w:rsidRPr="004F1A74" w14:paraId="029E9849" w14:textId="77777777" w:rsidTr="00311A4F">
        <w:trPr>
          <w:gridAfter w:val="1"/>
          <w:wAfter w:w="423" w:type="dxa"/>
        </w:trPr>
        <w:tc>
          <w:tcPr>
            <w:tcW w:w="8789" w:type="dxa"/>
          </w:tcPr>
          <w:p w14:paraId="20F21865" w14:textId="77777777" w:rsidR="00117CA0" w:rsidRDefault="00117CA0" w:rsidP="002D0553">
            <w:pPr>
              <w:jc w:val="both"/>
              <w:rPr>
                <w:b/>
                <w:bCs/>
                <w:sz w:val="22"/>
              </w:rPr>
            </w:pPr>
            <w:r>
              <w:rPr>
                <w:b/>
                <w:sz w:val="22"/>
              </w:rPr>
              <w:t xml:space="preserve">Seen to be annexed to our Decree</w:t>
            </w:r>
          </w:p>
        </w:tc>
      </w:tr>
      <w:tr w:rsidR="00117CA0" w:rsidRPr="004F1A74" w14:paraId="037EC2E2" w14:textId="77777777" w:rsidTr="00311A4F">
        <w:trPr>
          <w:gridAfter w:val="1"/>
          <w:wAfter w:w="423" w:type="dxa"/>
        </w:trPr>
        <w:tc>
          <w:tcPr>
            <w:tcW w:w="8789" w:type="dxa"/>
          </w:tcPr>
          <w:p w14:paraId="1944E7D6" w14:textId="77777777" w:rsidR="00117CA0" w:rsidRDefault="00117CA0" w:rsidP="002D0553">
            <w:pPr>
              <w:jc w:val="both"/>
              <w:rPr>
                <w:b/>
                <w:bCs/>
                <w:sz w:val="22"/>
                <w:lang w:val="fr-FR"/>
              </w:rPr>
            </w:pPr>
          </w:p>
        </w:tc>
      </w:tr>
      <w:tr w:rsidR="00117CA0" w:rsidRPr="004F1A74" w14:paraId="3081DFB3" w14:textId="77777777" w:rsidTr="00311A4F">
        <w:trPr>
          <w:gridAfter w:val="1"/>
          <w:wAfter w:w="423" w:type="dxa"/>
        </w:trPr>
        <w:tc>
          <w:tcPr>
            <w:tcW w:w="8789" w:type="dxa"/>
          </w:tcPr>
          <w:p w14:paraId="3106FCD1" w14:textId="77777777" w:rsidR="00117CA0" w:rsidRPr="00390EDD" w:rsidRDefault="00117CA0" w:rsidP="002D0553">
            <w:pPr>
              <w:jc w:val="both"/>
              <w:rPr>
                <w:b/>
                <w:bCs/>
                <w:sz w:val="22"/>
              </w:rPr>
            </w:pPr>
            <w:r>
              <w:rPr>
                <w:b/>
                <w:sz w:val="22"/>
              </w:rPr>
              <w:t xml:space="preserve">Annex 3.</w:t>
            </w:r>
            <w:r>
              <w:rPr>
                <w:b/>
                <w:sz w:val="22"/>
              </w:rPr>
              <w:t xml:space="preserve"> </w:t>
            </w:r>
            <w:r>
              <w:rPr>
                <w:b/>
                <w:sz w:val="22"/>
              </w:rPr>
              <w:t xml:space="preserve">List of hazardous substances prohibited for export unless one or more specific uses is or are authorised at the European level and only for that purpose.</w:t>
            </w:r>
          </w:p>
          <w:p w14:paraId="2E5E7195" w14:textId="77777777" w:rsidR="00CF24A1" w:rsidRPr="00C65F2C" w:rsidRDefault="00CF24A1" w:rsidP="00CF24A1">
            <w:pPr>
              <w:jc w:val="both"/>
              <w:rPr>
                <w:sz w:val="22"/>
              </w:rPr>
            </w:pPr>
            <w:r>
              <w:rPr>
                <w:sz w:val="22"/>
              </w:rPr>
              <w:t xml:space="preserve">(1)</w:t>
            </w:r>
            <w:r>
              <w:rPr>
                <w:rFonts w:ascii="Arial" w:hAnsi="Arial"/>
              </w:rPr>
              <w:t xml:space="preserve"> </w:t>
            </w:r>
            <w:r>
              <w:rPr>
                <w:sz w:val="22"/>
              </w:rPr>
              <w:t xml:space="preserve">1,3-dichloropropene</w:t>
            </w:r>
            <w:r>
              <w:rPr>
                <w:sz w:val="22"/>
              </w:rPr>
              <w:t xml:space="preserve"> </w:t>
            </w:r>
          </w:p>
          <w:p w14:paraId="783829BB" w14:textId="77777777" w:rsidR="00CF24A1" w:rsidRPr="00C65F2C" w:rsidRDefault="00CF24A1" w:rsidP="00CF24A1">
            <w:pPr>
              <w:jc w:val="both"/>
              <w:rPr>
                <w:sz w:val="22"/>
              </w:rPr>
            </w:pPr>
            <w:r>
              <w:rPr>
                <w:sz w:val="22"/>
              </w:rPr>
              <w:t xml:space="preserve">(2)</w:t>
            </w:r>
            <w:r>
              <w:rPr>
                <w:rFonts w:ascii="Arial" w:hAnsi="Arial"/>
              </w:rPr>
              <w:t xml:space="preserve"> </w:t>
            </w:r>
            <w:r>
              <w:rPr>
                <w:sz w:val="22"/>
              </w:rPr>
              <w:t xml:space="preserve">Carbendazim</w:t>
            </w:r>
            <w:r>
              <w:rPr>
                <w:sz w:val="22"/>
              </w:rPr>
              <w:t xml:space="preserve"> </w:t>
            </w:r>
          </w:p>
          <w:p w14:paraId="1DA5EB83" w14:textId="77777777" w:rsidR="00CF24A1" w:rsidRPr="000427BB" w:rsidRDefault="00CF24A1" w:rsidP="00CF24A1">
            <w:pPr>
              <w:jc w:val="both"/>
              <w:rPr>
                <w:sz w:val="22"/>
              </w:rPr>
            </w:pPr>
            <w:r>
              <w:rPr>
                <w:sz w:val="22"/>
              </w:rPr>
              <w:t xml:space="preserve">(3)</w:t>
            </w:r>
            <w:r>
              <w:rPr>
                <w:rFonts w:ascii="Arial" w:hAnsi="Arial"/>
              </w:rPr>
              <w:t xml:space="preserve"> </w:t>
            </w:r>
            <w:r>
              <w:rPr>
                <w:sz w:val="22"/>
              </w:rPr>
              <w:t xml:space="preserve">Clothianidin</w:t>
            </w:r>
            <w:r>
              <w:rPr>
                <w:sz w:val="22"/>
              </w:rPr>
              <w:t xml:space="preserve"> </w:t>
            </w:r>
          </w:p>
          <w:p w14:paraId="0148CEBF" w14:textId="77777777" w:rsidR="00CF24A1" w:rsidRPr="000427BB" w:rsidRDefault="00CF24A1" w:rsidP="00CF24A1">
            <w:pPr>
              <w:jc w:val="both"/>
              <w:rPr>
                <w:sz w:val="22"/>
              </w:rPr>
            </w:pPr>
            <w:r>
              <w:rPr>
                <w:sz w:val="22"/>
              </w:rPr>
              <w:t xml:space="preserve">(4)</w:t>
            </w:r>
            <w:r>
              <w:rPr>
                <w:sz w:val="22"/>
              </w:rPr>
              <w:t xml:space="preserve"> </w:t>
            </w:r>
            <w:r>
              <w:rPr>
                <w:sz w:val="22"/>
              </w:rPr>
              <w:t xml:space="preserve">Flufenoxuron</w:t>
            </w:r>
            <w:r>
              <w:rPr>
                <w:sz w:val="22"/>
              </w:rPr>
              <w:t xml:space="preserve"> </w:t>
            </w:r>
          </w:p>
          <w:p w14:paraId="613013CE" w14:textId="77777777" w:rsidR="00CF24A1" w:rsidRPr="000427BB" w:rsidRDefault="00CF24A1" w:rsidP="00CF24A1">
            <w:pPr>
              <w:jc w:val="both"/>
              <w:rPr>
                <w:sz w:val="22"/>
              </w:rPr>
            </w:pPr>
            <w:r>
              <w:rPr>
                <w:sz w:val="22"/>
              </w:rPr>
              <w:t xml:space="preserve">(5)</w:t>
            </w:r>
            <w:r>
              <w:rPr>
                <w:sz w:val="22"/>
              </w:rPr>
              <w:t xml:space="preserve"> </w:t>
            </w:r>
            <w:r>
              <w:rPr>
                <w:sz w:val="22"/>
              </w:rPr>
              <w:t xml:space="preserve">Imidacloprid</w:t>
            </w:r>
            <w:r>
              <w:rPr>
                <w:sz w:val="22"/>
              </w:rPr>
              <w:t xml:space="preserve"> </w:t>
            </w:r>
          </w:p>
          <w:p w14:paraId="0C74BC4D" w14:textId="77777777" w:rsidR="00CF24A1" w:rsidRPr="000427BB" w:rsidRDefault="00CF24A1" w:rsidP="00CF24A1">
            <w:pPr>
              <w:jc w:val="both"/>
              <w:rPr>
                <w:sz w:val="22"/>
              </w:rPr>
            </w:pPr>
            <w:r>
              <w:rPr>
                <w:sz w:val="22"/>
              </w:rPr>
              <w:t xml:space="preserve">(6)</w:t>
            </w:r>
            <w:r>
              <w:rPr>
                <w:sz w:val="22"/>
              </w:rPr>
              <w:t xml:space="preserve"> </w:t>
            </w:r>
            <w:r>
              <w:rPr>
                <w:sz w:val="22"/>
              </w:rPr>
              <w:t xml:space="preserve">Ethylene oxide</w:t>
            </w:r>
          </w:p>
          <w:p w14:paraId="75689B94" w14:textId="77777777" w:rsidR="00CF24A1" w:rsidRPr="004F1A74" w:rsidRDefault="00CF24A1" w:rsidP="00CF24A1">
            <w:pPr>
              <w:jc w:val="both"/>
              <w:rPr>
                <w:sz w:val="22"/>
              </w:rPr>
            </w:pPr>
            <w:r>
              <w:rPr>
                <w:sz w:val="22"/>
              </w:rPr>
              <w:t xml:space="preserve">(7)</w:t>
            </w:r>
            <w:r>
              <w:rPr>
                <w:sz w:val="22"/>
              </w:rPr>
              <w:t xml:space="preserve"> </w:t>
            </w:r>
            <w:r>
              <w:rPr>
                <w:sz w:val="22"/>
              </w:rPr>
              <w:t xml:space="preserve">Permethrin</w:t>
            </w:r>
          </w:p>
          <w:p w14:paraId="49257327" w14:textId="77777777" w:rsidR="00CF24A1" w:rsidRPr="004F1A74" w:rsidRDefault="00CF24A1" w:rsidP="00CF24A1">
            <w:pPr>
              <w:jc w:val="both"/>
              <w:rPr>
                <w:sz w:val="22"/>
              </w:rPr>
            </w:pPr>
            <w:r>
              <w:rPr>
                <w:sz w:val="22"/>
              </w:rPr>
              <w:t xml:space="preserve">(8)</w:t>
            </w:r>
            <w:r>
              <w:rPr>
                <w:sz w:val="22"/>
              </w:rPr>
              <w:t xml:space="preserve"> </w:t>
            </w:r>
            <w:r>
              <w:rPr>
                <w:sz w:val="22"/>
              </w:rPr>
              <w:t xml:space="preserve">Quinoxyfen</w:t>
            </w:r>
          </w:p>
          <w:p w14:paraId="3CBF78B5" w14:textId="77777777" w:rsidR="00CF24A1" w:rsidRPr="004F1A74" w:rsidRDefault="00CF24A1" w:rsidP="00CF24A1">
            <w:pPr>
              <w:jc w:val="both"/>
              <w:rPr>
                <w:sz w:val="22"/>
              </w:rPr>
            </w:pPr>
            <w:r>
              <w:rPr>
                <w:sz w:val="22"/>
              </w:rPr>
              <w:t xml:space="preserve">(9)</w:t>
            </w:r>
            <w:r>
              <w:rPr>
                <w:sz w:val="22"/>
              </w:rPr>
              <w:t xml:space="preserve"> </w:t>
            </w:r>
            <w:r>
              <w:rPr>
                <w:sz w:val="22"/>
              </w:rPr>
              <w:t xml:space="preserve">Sodium Dimethylarsinate</w:t>
            </w:r>
          </w:p>
          <w:p w14:paraId="188693EB" w14:textId="77777777" w:rsidR="00CF24A1" w:rsidRPr="004F1A74" w:rsidRDefault="00CF24A1" w:rsidP="00CF24A1">
            <w:pPr>
              <w:jc w:val="both"/>
              <w:rPr>
                <w:sz w:val="22"/>
              </w:rPr>
            </w:pPr>
            <w:r>
              <w:rPr>
                <w:sz w:val="22"/>
              </w:rPr>
              <w:t xml:space="preserve">(10)</w:t>
            </w:r>
            <w:r>
              <w:rPr>
                <w:sz w:val="22"/>
              </w:rPr>
              <w:t xml:space="preserve"> </w:t>
            </w:r>
            <w:r>
              <w:rPr>
                <w:sz w:val="22"/>
              </w:rPr>
              <w:t xml:space="preserve">Thiamethoxam</w:t>
            </w:r>
          </w:p>
          <w:p w14:paraId="7DE561E1" w14:textId="77777777" w:rsidR="00CF24A1" w:rsidRPr="004F1A74" w:rsidRDefault="00CF24A1" w:rsidP="00CF24A1">
            <w:pPr>
              <w:jc w:val="both"/>
              <w:rPr>
                <w:sz w:val="22"/>
              </w:rPr>
            </w:pPr>
            <w:r>
              <w:rPr>
                <w:sz w:val="22"/>
              </w:rPr>
              <w:t xml:space="preserve">(11)</w:t>
            </w:r>
            <w:r>
              <w:rPr>
                <w:sz w:val="22"/>
              </w:rPr>
              <w:t xml:space="preserve"> </w:t>
            </w:r>
            <w:r>
              <w:rPr>
                <w:sz w:val="22"/>
              </w:rPr>
              <w:t xml:space="preserve">Thiram</w:t>
            </w:r>
          </w:p>
          <w:p w14:paraId="741DB7E9" w14:textId="77777777" w:rsidR="00117CA0" w:rsidRPr="004F1A74" w:rsidRDefault="00117CA0" w:rsidP="002D0553">
            <w:pPr>
              <w:jc w:val="both"/>
              <w:rPr>
                <w:b/>
                <w:bCs/>
                <w:sz w:val="22"/>
                <w:lang w:val="fr-BE"/>
              </w:rPr>
            </w:pPr>
          </w:p>
          <w:p w14:paraId="5AF2D27D" w14:textId="46405DE2" w:rsidR="00117CA0" w:rsidRPr="004F1A74" w:rsidRDefault="00117CA0" w:rsidP="002D0553">
            <w:pPr>
              <w:jc w:val="both"/>
              <w:rPr>
                <w:sz w:val="22"/>
                <w:lang w:val="fr-BE"/>
              </w:rPr>
            </w:pPr>
          </w:p>
        </w:tc>
      </w:tr>
      <w:tr w:rsidR="00117CA0" w:rsidRPr="004F1A74" w14:paraId="34059178" w14:textId="77777777" w:rsidTr="00311A4F">
        <w:trPr>
          <w:gridAfter w:val="1"/>
          <w:wAfter w:w="423" w:type="dxa"/>
        </w:trPr>
        <w:tc>
          <w:tcPr>
            <w:tcW w:w="8789" w:type="dxa"/>
          </w:tcPr>
          <w:p w14:paraId="016FAB26" w14:textId="77777777" w:rsidR="00117CA0" w:rsidRPr="004F1A74" w:rsidRDefault="00117CA0" w:rsidP="002D0553">
            <w:pPr>
              <w:jc w:val="both"/>
              <w:rPr>
                <w:sz w:val="22"/>
                <w:lang w:val="fr-BE"/>
              </w:rPr>
            </w:pPr>
          </w:p>
        </w:tc>
      </w:tr>
      <w:tr w:rsidR="00117CA0" w:rsidRPr="006357DC" w14:paraId="2AF369AA" w14:textId="77777777" w:rsidTr="00311A4F">
        <w:trPr>
          <w:gridAfter w:val="1"/>
          <w:wAfter w:w="423" w:type="dxa"/>
        </w:trPr>
        <w:tc>
          <w:tcPr>
            <w:tcW w:w="8789" w:type="dxa"/>
          </w:tcPr>
          <w:p w14:paraId="17A59159" w14:textId="77777777" w:rsidR="00311A4F" w:rsidRPr="004F1A74" w:rsidRDefault="00311A4F" w:rsidP="00311A4F">
            <w:pPr>
              <w:jc w:val="center"/>
              <w:rPr>
                <w:sz w:val="22"/>
                <w:lang w:val="fr-BE"/>
              </w:rPr>
            </w:pPr>
          </w:p>
          <w:p w14:paraId="5013B190" w14:textId="77777777" w:rsidR="00311A4F" w:rsidRPr="004F1A74" w:rsidRDefault="00311A4F" w:rsidP="00311A4F">
            <w:pPr>
              <w:jc w:val="center"/>
              <w:rPr>
                <w:sz w:val="22"/>
                <w:lang w:val="fr-BE"/>
              </w:rPr>
            </w:pPr>
          </w:p>
          <w:p w14:paraId="54AA7911" w14:textId="45C5CB43" w:rsidR="00117CA0" w:rsidRPr="006357DC" w:rsidRDefault="00117CA0" w:rsidP="00311A4F">
            <w:pPr>
              <w:jc w:val="center"/>
              <w:rPr>
                <w:sz w:val="22"/>
              </w:rPr>
            </w:pPr>
            <w:r>
              <w:rPr>
                <w:sz w:val="22"/>
              </w:rPr>
              <w:t xml:space="preserve">xxx, on</w:t>
            </w:r>
          </w:p>
        </w:tc>
      </w:tr>
      <w:tr w:rsidR="00117CA0" w:rsidRPr="006357DC" w14:paraId="6BDC4492" w14:textId="77777777" w:rsidTr="00311A4F">
        <w:trPr>
          <w:gridAfter w:val="1"/>
          <w:wAfter w:w="423" w:type="dxa"/>
        </w:trPr>
        <w:tc>
          <w:tcPr>
            <w:tcW w:w="8789" w:type="dxa"/>
          </w:tcPr>
          <w:p w14:paraId="572970E1" w14:textId="77777777" w:rsidR="00117CA0" w:rsidRPr="006357DC" w:rsidRDefault="00117CA0" w:rsidP="00311A4F">
            <w:pPr>
              <w:jc w:val="center"/>
              <w:rPr>
                <w:sz w:val="22"/>
                <w:lang w:val="fr-FR"/>
              </w:rPr>
            </w:pPr>
          </w:p>
        </w:tc>
      </w:tr>
      <w:tr w:rsidR="00117CA0" w:rsidRPr="006357DC" w14:paraId="2E9AD9DB" w14:textId="77777777" w:rsidTr="00311A4F">
        <w:trPr>
          <w:gridAfter w:val="1"/>
          <w:wAfter w:w="423" w:type="dxa"/>
        </w:trPr>
        <w:tc>
          <w:tcPr>
            <w:tcW w:w="8789" w:type="dxa"/>
          </w:tcPr>
          <w:p w14:paraId="7C3F9743" w14:textId="77777777" w:rsidR="00117CA0" w:rsidRPr="006357DC" w:rsidRDefault="00117CA0" w:rsidP="00311A4F">
            <w:pPr>
              <w:jc w:val="center"/>
              <w:rPr>
                <w:sz w:val="22"/>
                <w:lang w:val="fr-FR"/>
              </w:rPr>
            </w:pPr>
          </w:p>
        </w:tc>
      </w:tr>
      <w:tr w:rsidR="00117CA0" w:rsidRPr="006357DC" w14:paraId="0FB9BEF1" w14:textId="77777777" w:rsidTr="00311A4F">
        <w:trPr>
          <w:gridAfter w:val="1"/>
          <w:wAfter w:w="423" w:type="dxa"/>
        </w:trPr>
        <w:tc>
          <w:tcPr>
            <w:tcW w:w="8789" w:type="dxa"/>
          </w:tcPr>
          <w:p w14:paraId="05A46B6C" w14:textId="77777777" w:rsidR="00117CA0" w:rsidRPr="006357DC" w:rsidRDefault="00117CA0" w:rsidP="00311A4F">
            <w:pPr>
              <w:jc w:val="center"/>
              <w:rPr>
                <w:sz w:val="22"/>
              </w:rPr>
            </w:pPr>
            <w:r>
              <w:rPr>
                <w:sz w:val="22"/>
              </w:rPr>
              <w:t xml:space="preserve">By the King:</w:t>
            </w:r>
          </w:p>
        </w:tc>
      </w:tr>
      <w:tr w:rsidR="00117CA0" w:rsidRPr="006357DC" w14:paraId="774DB4D1" w14:textId="77777777" w:rsidTr="00311A4F">
        <w:trPr>
          <w:gridAfter w:val="1"/>
          <w:wAfter w:w="423" w:type="dxa"/>
        </w:trPr>
        <w:tc>
          <w:tcPr>
            <w:tcW w:w="8789" w:type="dxa"/>
          </w:tcPr>
          <w:p w14:paraId="63DED992" w14:textId="77777777" w:rsidR="00117CA0" w:rsidRPr="006357DC" w:rsidRDefault="00117CA0" w:rsidP="00311A4F">
            <w:pPr>
              <w:jc w:val="center"/>
              <w:rPr>
                <w:sz w:val="22"/>
                <w:lang w:val="fr-FR"/>
              </w:rPr>
            </w:pPr>
          </w:p>
        </w:tc>
      </w:tr>
      <w:tr w:rsidR="00117CA0" w:rsidRPr="006357DC" w14:paraId="606C8DB4" w14:textId="77777777" w:rsidTr="00311A4F">
        <w:trPr>
          <w:gridAfter w:val="1"/>
          <w:wAfter w:w="423" w:type="dxa"/>
        </w:trPr>
        <w:tc>
          <w:tcPr>
            <w:tcW w:w="8789" w:type="dxa"/>
          </w:tcPr>
          <w:p w14:paraId="7B1E9CA6" w14:textId="77777777" w:rsidR="00117CA0" w:rsidRPr="006357DC" w:rsidRDefault="00117CA0" w:rsidP="00311A4F">
            <w:pPr>
              <w:jc w:val="center"/>
              <w:rPr>
                <w:sz w:val="22"/>
                <w:lang w:val="fr-FR"/>
              </w:rPr>
            </w:pPr>
          </w:p>
        </w:tc>
      </w:tr>
      <w:tr w:rsidR="00117CA0" w:rsidRPr="004F1A74" w14:paraId="72325710" w14:textId="77777777" w:rsidTr="00311A4F">
        <w:trPr>
          <w:gridAfter w:val="1"/>
          <w:wAfter w:w="423" w:type="dxa"/>
        </w:trPr>
        <w:tc>
          <w:tcPr>
            <w:tcW w:w="8789" w:type="dxa"/>
          </w:tcPr>
          <w:p w14:paraId="3F8526E8" w14:textId="77777777" w:rsidR="00117CA0" w:rsidRPr="006357DC" w:rsidRDefault="00117CA0" w:rsidP="00311A4F">
            <w:pPr>
              <w:jc w:val="center"/>
              <w:rPr>
                <w:sz w:val="22"/>
              </w:rPr>
            </w:pPr>
            <w:r>
              <w:rPr>
                <w:sz w:val="22"/>
              </w:rPr>
              <w:t xml:space="preserve">The Minister for Public Health,</w:t>
            </w:r>
          </w:p>
        </w:tc>
      </w:tr>
      <w:tr w:rsidR="00117CA0" w:rsidRPr="006357DC" w14:paraId="7C5B439F" w14:textId="77777777" w:rsidTr="002D0553">
        <w:tc>
          <w:tcPr>
            <w:tcW w:w="9212" w:type="dxa"/>
            <w:gridSpan w:val="2"/>
          </w:tcPr>
          <w:p w14:paraId="1042F747" w14:textId="77777777" w:rsidR="00117CA0" w:rsidRPr="006357DC" w:rsidRDefault="00117CA0" w:rsidP="00311A4F">
            <w:pPr>
              <w:jc w:val="center"/>
              <w:rPr>
                <w:sz w:val="22"/>
                <w:lang w:val="fr-BE"/>
              </w:rPr>
            </w:pPr>
          </w:p>
          <w:p w14:paraId="74151902" w14:textId="77777777" w:rsidR="00117CA0" w:rsidRPr="006357DC" w:rsidRDefault="00117CA0" w:rsidP="00311A4F">
            <w:pPr>
              <w:jc w:val="center"/>
              <w:rPr>
                <w:sz w:val="22"/>
                <w:lang w:val="fr-BE"/>
              </w:rPr>
            </w:pPr>
          </w:p>
          <w:p w14:paraId="686D6719" w14:textId="77777777" w:rsidR="00117CA0" w:rsidRPr="006357DC" w:rsidRDefault="00117CA0" w:rsidP="00311A4F">
            <w:pPr>
              <w:jc w:val="center"/>
              <w:rPr>
                <w:sz w:val="22"/>
                <w:lang w:val="fr-BE"/>
              </w:rPr>
            </w:pPr>
          </w:p>
          <w:p w14:paraId="48191036" w14:textId="77777777" w:rsidR="00117CA0" w:rsidRPr="006357DC" w:rsidRDefault="00117CA0" w:rsidP="00311A4F">
            <w:pPr>
              <w:jc w:val="center"/>
              <w:rPr>
                <w:sz w:val="22"/>
                <w:lang w:val="fr-BE"/>
              </w:rPr>
            </w:pPr>
          </w:p>
          <w:p w14:paraId="048FB133" w14:textId="77777777" w:rsidR="00117CA0" w:rsidRPr="006357DC" w:rsidRDefault="00117CA0" w:rsidP="00311A4F">
            <w:pPr>
              <w:jc w:val="center"/>
              <w:rPr>
                <w:sz w:val="22"/>
                <w:lang w:val="fr-BE"/>
              </w:rPr>
            </w:pPr>
          </w:p>
          <w:p w14:paraId="178DB33E" w14:textId="77777777" w:rsidR="00117CA0" w:rsidRPr="006357DC" w:rsidRDefault="00117CA0" w:rsidP="00311A4F">
            <w:pPr>
              <w:jc w:val="center"/>
              <w:rPr>
                <w:sz w:val="22"/>
                <w:lang w:val="fr-BE"/>
              </w:rPr>
            </w:pPr>
          </w:p>
          <w:p w14:paraId="32221077" w14:textId="77777777" w:rsidR="00117CA0" w:rsidRPr="006357DC" w:rsidRDefault="00117CA0" w:rsidP="00311A4F">
            <w:pPr>
              <w:jc w:val="center"/>
              <w:rPr>
                <w:sz w:val="22"/>
                <w:lang w:val="fr-BE"/>
              </w:rPr>
            </w:pPr>
          </w:p>
          <w:p w14:paraId="5FDE6EE2" w14:textId="77777777" w:rsidR="00117CA0" w:rsidRPr="006357DC" w:rsidRDefault="00117CA0" w:rsidP="00311A4F">
            <w:pPr>
              <w:jc w:val="center"/>
              <w:rPr>
                <w:sz w:val="22"/>
                <w:lang w:val="fr-BE"/>
              </w:rPr>
            </w:pPr>
          </w:p>
          <w:p w14:paraId="7350C324" w14:textId="77777777" w:rsidR="00117CA0" w:rsidRPr="006357DC" w:rsidRDefault="00117CA0" w:rsidP="00311A4F">
            <w:pPr>
              <w:ind w:left="113"/>
              <w:jc w:val="center"/>
              <w:rPr>
                <w:sz w:val="22"/>
              </w:rPr>
            </w:pPr>
            <w:r>
              <w:rPr>
                <w:sz w:val="22"/>
              </w:rPr>
              <w:t xml:space="preserve">F. VANDENBROUCKE</w:t>
            </w:r>
          </w:p>
        </w:tc>
      </w:tr>
      <w:tr w:rsidR="00117CA0" w14:paraId="6DA772A2" w14:textId="77777777" w:rsidTr="002D0553">
        <w:tc>
          <w:tcPr>
            <w:tcW w:w="9212" w:type="dxa"/>
            <w:gridSpan w:val="2"/>
          </w:tcPr>
          <w:p w14:paraId="543E1B3A" w14:textId="77777777" w:rsidR="00117CA0" w:rsidRDefault="00117CA0" w:rsidP="00311A4F">
            <w:pPr>
              <w:jc w:val="center"/>
              <w:rPr>
                <w:sz w:val="22"/>
                <w:lang w:val="fr-BE"/>
              </w:rPr>
            </w:pPr>
          </w:p>
        </w:tc>
      </w:tr>
      <w:tr w:rsidR="00117CA0" w:rsidRPr="004F1A74" w14:paraId="4436A9BC" w14:textId="77777777" w:rsidTr="00311A4F">
        <w:trPr>
          <w:gridAfter w:val="1"/>
          <w:wAfter w:w="423" w:type="dxa"/>
        </w:trPr>
        <w:tc>
          <w:tcPr>
            <w:tcW w:w="8789" w:type="dxa"/>
          </w:tcPr>
          <w:p w14:paraId="4BE5A6A3" w14:textId="4F55FCA0" w:rsidR="00117CA0" w:rsidRDefault="00117CA0" w:rsidP="00311A4F">
            <w:pPr>
              <w:ind w:left="113"/>
              <w:jc w:val="center"/>
              <w:rPr>
                <w:sz w:val="22"/>
              </w:rPr>
            </w:pPr>
            <w:r>
              <w:rPr>
                <w:sz w:val="22"/>
              </w:rPr>
              <w:t xml:space="preserve">The Minister for Climate, the Environment, Sustainable Development and the Green Deal,</w:t>
            </w:r>
          </w:p>
        </w:tc>
      </w:tr>
      <w:tr w:rsidR="00117CA0" w:rsidRPr="00C32F63" w14:paraId="4D7D40FD" w14:textId="77777777" w:rsidTr="002D0553">
        <w:tc>
          <w:tcPr>
            <w:tcW w:w="9212" w:type="dxa"/>
            <w:gridSpan w:val="2"/>
          </w:tcPr>
          <w:p w14:paraId="001A6811" w14:textId="77777777" w:rsidR="00117CA0" w:rsidRDefault="00117CA0" w:rsidP="00311A4F">
            <w:pPr>
              <w:jc w:val="center"/>
              <w:rPr>
                <w:sz w:val="22"/>
                <w:lang w:val="fr-BE"/>
              </w:rPr>
            </w:pPr>
          </w:p>
          <w:p w14:paraId="101714B1" w14:textId="77777777" w:rsidR="00117CA0" w:rsidRDefault="00117CA0" w:rsidP="00311A4F">
            <w:pPr>
              <w:jc w:val="center"/>
              <w:rPr>
                <w:sz w:val="22"/>
                <w:lang w:val="fr-BE"/>
              </w:rPr>
            </w:pPr>
          </w:p>
          <w:p w14:paraId="60818CD6" w14:textId="77777777" w:rsidR="00117CA0" w:rsidRDefault="00117CA0" w:rsidP="00311A4F">
            <w:pPr>
              <w:jc w:val="center"/>
              <w:rPr>
                <w:sz w:val="22"/>
                <w:lang w:val="fr-BE"/>
              </w:rPr>
            </w:pPr>
          </w:p>
          <w:p w14:paraId="6504E156" w14:textId="77777777" w:rsidR="00117CA0" w:rsidRDefault="00117CA0" w:rsidP="00311A4F">
            <w:pPr>
              <w:jc w:val="center"/>
              <w:rPr>
                <w:sz w:val="22"/>
                <w:lang w:val="fr-BE"/>
              </w:rPr>
            </w:pPr>
          </w:p>
          <w:p w14:paraId="07458C5E" w14:textId="77777777" w:rsidR="00117CA0" w:rsidRDefault="00117CA0" w:rsidP="00311A4F">
            <w:pPr>
              <w:jc w:val="center"/>
              <w:rPr>
                <w:sz w:val="22"/>
                <w:lang w:val="fr-BE"/>
              </w:rPr>
            </w:pPr>
          </w:p>
          <w:p w14:paraId="1226A9C0" w14:textId="77777777" w:rsidR="00117CA0" w:rsidRDefault="00117CA0" w:rsidP="00311A4F">
            <w:pPr>
              <w:jc w:val="center"/>
              <w:rPr>
                <w:sz w:val="22"/>
                <w:lang w:val="fr-BE"/>
              </w:rPr>
            </w:pPr>
          </w:p>
          <w:p w14:paraId="704AD5AE" w14:textId="77777777" w:rsidR="00117CA0" w:rsidRDefault="00117CA0" w:rsidP="00311A4F">
            <w:pPr>
              <w:jc w:val="center"/>
              <w:rPr>
                <w:sz w:val="22"/>
                <w:lang w:val="fr-BE"/>
              </w:rPr>
            </w:pPr>
          </w:p>
          <w:p w14:paraId="01F4777D" w14:textId="77777777" w:rsidR="00117CA0" w:rsidRDefault="00117CA0" w:rsidP="00311A4F">
            <w:pPr>
              <w:jc w:val="center"/>
              <w:rPr>
                <w:sz w:val="22"/>
                <w:lang w:val="fr-BE"/>
              </w:rPr>
            </w:pPr>
          </w:p>
          <w:p w14:paraId="1A98B2E1" w14:textId="77777777" w:rsidR="00117CA0" w:rsidRDefault="00117CA0" w:rsidP="00311A4F">
            <w:pPr>
              <w:jc w:val="center"/>
              <w:rPr>
                <w:sz w:val="22"/>
                <w:lang w:val="fr-BE"/>
              </w:rPr>
            </w:pPr>
          </w:p>
          <w:p w14:paraId="6F132B9E" w14:textId="77777777" w:rsidR="00117CA0" w:rsidRPr="00C32F63" w:rsidRDefault="00117CA0" w:rsidP="00311A4F">
            <w:pPr>
              <w:ind w:left="113"/>
              <w:jc w:val="center"/>
              <w:rPr>
                <w:sz w:val="22"/>
              </w:rPr>
            </w:pPr>
            <w:r>
              <w:rPr>
                <w:sz w:val="22"/>
              </w:rPr>
              <w:t xml:space="preserve">Z.</w:t>
            </w:r>
            <w:r>
              <w:rPr>
                <w:sz w:val="22"/>
              </w:rPr>
              <w:t xml:space="preserve"> </w:t>
            </w:r>
            <w:r>
              <w:rPr>
                <w:sz w:val="22"/>
              </w:rPr>
              <w:t xml:space="preserve">KHATTABI</w:t>
            </w:r>
          </w:p>
        </w:tc>
      </w:tr>
    </w:tbl>
    <w:p w14:paraId="0E51C1E6" w14:textId="77777777" w:rsidR="00117CA0" w:rsidRPr="00117CA0" w:rsidRDefault="00117CA0">
      <w:pPr>
        <w:rPr>
          <w:lang w:val="fr-BE"/>
        </w:rPr>
      </w:pPr>
    </w:p>
    <w:sectPr w:rsidR="00117CA0" w:rsidRPr="00117CA0" w:rsidSect="00250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A0"/>
    <w:rsid w:val="00117CA0"/>
    <w:rsid w:val="0025007D"/>
    <w:rsid w:val="002C5469"/>
    <w:rsid w:val="00311A4F"/>
    <w:rsid w:val="004F1A74"/>
    <w:rsid w:val="007477EC"/>
    <w:rsid w:val="009A513E"/>
    <w:rsid w:val="00CF24A1"/>
    <w:rsid w:val="00FA522A"/>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BEC2"/>
  <w15:chartTrackingRefBased/>
  <w15:docId w15:val="{6D36BECC-1AAB-40E3-87EE-A8179AF3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A0"/>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link w:val="Heading3Char"/>
    <w:qFormat/>
    <w:rsid w:val="00117CA0"/>
    <w:pPr>
      <w:spacing w:before="100" w:beforeAutospacing="1" w:after="100" w:afterAutospacing="1"/>
      <w:outlineLvl w:val="2"/>
    </w:pPr>
    <w:rPr>
      <w:rFonts w:eastAsia="Arial Unicode MS"/>
      <w:b/>
      <w:bCs/>
      <w:sz w:val="27"/>
      <w:szCs w:val="27"/>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7CA0"/>
    <w:rPr>
      <w:rFonts w:ascii="Times New Roman" w:eastAsia="Arial Unicode MS" w:hAnsi="Times New Roman" w:cs="Times New Roman"/>
      <w:b/>
      <w:bCs/>
      <w:sz w:val="27"/>
      <w:szCs w:val="27"/>
      <w:lang w:val="en-GB" w:eastAsia="nl-NL"/>
    </w:rPr>
  </w:style>
  <w:style w:type="paragraph" w:styleId="BodyTextIndent2">
    <w:name w:val="Body Text Indent 2"/>
    <w:basedOn w:val="Normal"/>
    <w:link w:val="BodyTextIndent2Char"/>
    <w:rsid w:val="00117CA0"/>
    <w:pPr>
      <w:ind w:left="113"/>
    </w:pPr>
    <w:rPr>
      <w:lang w:val="en-GB" w:eastAsia="fr-FR"/>
    </w:rPr>
  </w:style>
  <w:style w:type="character" w:customStyle="1" w:styleId="BodyTextIndent2Char">
    <w:name w:val="Body Text Indent 2 Char"/>
    <w:basedOn w:val="DefaultParagraphFont"/>
    <w:link w:val="BodyTextIndent2"/>
    <w:rsid w:val="00117CA0"/>
    <w:rPr>
      <w:rFonts w:ascii="Times New Roman" w:eastAsia="Times New Roman" w:hAnsi="Times New Roman" w:cs="Times New Roman"/>
      <w:sz w:val="24"/>
      <w:szCs w:val="24"/>
      <w:lang w:val="en-GB" w:eastAsia="fr-FR"/>
    </w:rPr>
  </w:style>
  <w:style w:type="paragraph" w:styleId="CommentText">
    <w:name w:val="annotation text"/>
    <w:basedOn w:val="Normal"/>
    <w:link w:val="CommentTextChar"/>
    <w:semiHidden/>
    <w:rsid w:val="00117CA0"/>
    <w:rPr>
      <w:sz w:val="20"/>
      <w:szCs w:val="20"/>
    </w:rPr>
  </w:style>
  <w:style w:type="character" w:customStyle="1" w:styleId="CommentTextChar">
    <w:name w:val="Comment Text Char"/>
    <w:basedOn w:val="DefaultParagraphFont"/>
    <w:link w:val="CommentText"/>
    <w:semiHidden/>
    <w:rsid w:val="00117CA0"/>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1537</Words>
  <Characters>8764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Merckx (SPF Santé Publique - FOD Volksgezondheid)</dc:creator>
  <cp:keywords/>
  <dc:description/>
  <cp:lastModifiedBy>Dimitris Dimitriadis</cp:lastModifiedBy>
  <cp:revision>3</cp:revision>
  <dcterms:created xsi:type="dcterms:W3CDTF">2022-11-24T15:19:00Z</dcterms:created>
  <dcterms:modified xsi:type="dcterms:W3CDTF">2022-11-29T10:22:00Z</dcterms:modified>
</cp:coreProperties>
</file>