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4 SKYRIUS.</w:t>
      </w:r>
      <w:r>
        <w:rPr>
          <w:sz w:val="22"/>
        </w:rPr>
        <w:t xml:space="preserve"> </w:t>
      </w:r>
      <w:r>
        <w:rPr>
          <w:sz w:val="22"/>
        </w:rPr>
        <w:t xml:space="preserve">Transporto priemonių prieinamumas</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Kai taksi paslauga teikiama užsakant telefonu, ši paslauga turi išplėsti užsakymo būdus naudojant naujas technologijas, taikomąsias programas, internetą, tekstinius pranešimus, faksogramas ar panašias priemones, kad visi naudotojai, įskaitant klausos negalią turinčius asmenis, galėtų savarankiškai užsakyti paslaugą.</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Jei užsakomųjų taksi paslaugų teikėjas turi interneto svetainę, ji turi būti prieinama bent jau WCAG 2.1 gairėse nustatytu AA lygiu.</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Už taksi, kurią riboto judumo asmenys gali užsakyti telefonu, internetu ar mobiliąja programa, užsakymą negali būti taikomas joks numatomos paklausos priedas.</w:t>
      </w:r>
      <w:r>
        <w:rPr>
          <w:sz w:val="22"/>
        </w:rPr>
        <w:t xml:space="preserve"> </w:t>
      </w:r>
      <w:r>
        <w:rPr>
          <w:sz w:val="22"/>
        </w:rPr>
        <w:t xml:space="preserve">Neįgaliojo kortelė naudojama kaip įrodymas tuo atveju, jei jos prašoma.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5 SKYRIUS.</w:t>
      </w:r>
      <w:r>
        <w:rPr>
          <w:sz w:val="22"/>
        </w:rPr>
        <w:t xml:space="preserve"> </w:t>
      </w:r>
      <w:r>
        <w:rPr>
          <w:sz w:val="22"/>
        </w:rPr>
        <w:t xml:space="preserve">Gaminių prieinamumas</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116 straipsnis.</w:t>
      </w:r>
      <w:r>
        <w:rPr>
          <w:sz w:val="22"/>
        </w:rPr>
        <w:tab/>
      </w:r>
      <w:r>
        <w:rPr>
          <w:sz w:val="22"/>
        </w:rPr>
        <w:t xml:space="preserve">Vartojimo gaminiai</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Gaminys laikomas prieinamu, jei jis atitinka šias sąlygas:</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Jis turi prieinamą, jo savybes atitinkančią etiketę, pagal kurią jį galima identifikuoti, nurodant jo pavadinimą ir svarbiausią informaciją.</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Jo dizainas atitinka universalaus dizaino kriterijus, nustatant tinkamas naudojimo sąlygas ir saugos sąlygas bet kuriam naudotojui.</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Su papildoma informacija, nurodymais ar prospektais galima susipažinti internete, įrenginių taikomosiose programose ir naudojant naujas technologijas, kurių prieinamas turinys atitinka 5a priedo 25 ir 26 dalių sąlygas.</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Įmonės, kurios parduoda gaminį, yra atsakingos už tai, kad būtų laikomasi jam taikomų prieinamumo sąlygų.</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Vaistuose ir pavojinguose gaminiuose turi būti įdiegti duomenų elementai ir sistemos, kad aklieji ar kurtieji galėtų gauti šią informaciją:</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Gaminio pavadinimo nurodymas ant pakuotės Brailio raštu ir ikonografija.</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Galiojimo data ant pakuotės Brailio raštu ir ikonografija arba kitomis alternatyviomis priemonėmis, suteikiančiomis tas pačias savybes.</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Pagrindinės gaminio savybės, pavyzdžiui, jo sudėtis ir išsaugojimas, be kita ko, atliekant garso paiešką internetu arba kitomis priemonėmis, leidžiančiomis taikyti tokias pat veiksmingas naujas technologijas, regos negalią turinčių asmenų asociacijų prašymu.</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Prekybos centrų tinklai ir įmonės, turinčios maisto ar mišrias įstaigas, visose vietose, kuriose jos turi daugiau kaip 250 m² naudingojo ploto viešojo naudojimo patalpų, aklojo ar jo giminaičio prašymu privalo užtikrinti šias sąlygas:</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Bent viena iš vietovės įmonių Brailio raštu ženklina greitai gendančius gaminius arba gaminius, kurie gali sukelti painiavą, naudodami spausdintuvus arba sistemas, leidžiančias ženklinti Brailio raštu, pačioje įmonėje.</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Gaminiai, parduodami internetu ir pristatomi į namus, taip pat ženklinami Brailio raštu, kaip nurodyta pirmesniame punkte.</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Internete ar kitais būdais skleidžiant komercinę informaciją prieinama forma pateikiama informacija apie tai, kuriose patalpose yra galimybė ženklinti gaminius Brailio raštu.</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Savivaldybėse, turinčiose daugiau kaip 50 000 gyventojų, kiekviena kaimynystė laikoma skirtinga teritorine teritorija ir taikant ankstesnę pastraipą prilyginama vietovei.</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Generaliteto administracija turi palaipsniui parengti technines instrukcijas, į kurias būtų įtraukti nauji technologiniai pasiekimai, ir nustatyti prieinamo ženklinimo specifikacijas, terminus, charakteristikas ir kriterijus bei universalaus dizaino gaires, taikomas įvairių komercinių sektorių gaminiams.</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Regos sutrikimų turintys bei neregintys ir kurti vartotojai turi teisę savarankiškai, paprastai, lengvai, nedelsiant ir vienodomis sąlygomis gauti tą pačią informaciją apie gaminį, kuri visiems vartotojams ir naudotojams pateikiama etiketėje.</w:t>
      </w:r>
      <w:r>
        <w:rPr>
          <w:sz w:val="22"/>
        </w:rPr>
        <w:t xml:space="preserve"> </w:t>
      </w:r>
      <w:r>
        <w:rPr>
          <w:sz w:val="22"/>
        </w:rPr>
        <w:t xml:space="preserve">Šiuo tikslu prieinamas ženklinimas turi atitikti šias sąlygas:</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Jis turi teikti kuo daugiau informacijos, kad neįgaliems vartotojams būtų sudarytos vienodos sąlygos kaip ir kitiems vartotojams.</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Juo turi būti sudarytos sąlygos informaciją gauti savarankiškai, greitai, patogiai, tiesiogiai ir standartizuotai, nereikalaujant didelių techninių žinių ar technologinių priemonių naudojimo.</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Tai negali sukelti papildomų išlaidų neįgaliems vartotojams.</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Dėl to įmonės neturi patirti neįperkamų išlaidų.</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Įpareigotosios įmonės, teikiančios elektronines pardavimo paslaugas, atitinkamoje interneto svetainėje turi nurodyti galimybę tokiu būdu įsigytus gaminius pristatyti su prieinamu ženklinimu.</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Vartotojų arbitražo sistema ir jos procedūros bei procesai turi būti prieinami neįgaliesiems.</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Valstybinės ir privačios vartotojų aptarnavimo tarnybos turi imtis priemonių, palengvinančių bendravimą kurtiesiems, kurie bendrauja gestų kalba ir žodžiu, turint pakankamai pagalbinių priemonių.</w:t>
      </w:r>
      <w:r>
        <w:rPr>
          <w:sz w:val="22"/>
        </w:rPr>
        <w:t xml:space="preserve"> </w:t>
      </w:r>
      <w:r>
        <w:rPr>
          <w:sz w:val="22"/>
        </w:rPr>
        <w:t xml:space="preserve">Be to, ne vėliau kaip per trejus metus nuo šio kodekso įsigaliojimo 20 proc. viešųjų paslaugų teikimo vietų turi būti įrengta klausos kilpa, o jų darbuotojai turi būti pasirengę teikti informaciją žmonėms su bet kokia negalia.</w:t>
      </w:r>
    </w:p>
    <w:p w14:paraId="178D066A" w14:textId="77777777" w:rsidR="00CC0ADF" w:rsidRDefault="00CC0ADF">
      <w:pPr>
        <w:rPr>
          <w:lang w:val="es-ES"/>
        </w:rPr>
      </w:pPr>
    </w:p>
    <w:p w14:paraId="3EF53236" w14:textId="476D7F11" w:rsidR="00E526B5" w:rsidRDefault="00B670F2">
      <w:r>
        <w:rPr>
          <w:sz w:val="22"/>
        </w:rPr>
        <w:t xml:space="preserve">6 SKYRIUS.</w:t>
      </w:r>
      <w:r>
        <w:rPr>
          <w:sz w:val="22"/>
        </w:rPr>
        <w:t xml:space="preserve"> </w:t>
      </w:r>
      <w:r>
        <w:rPr>
          <w:sz w:val="22"/>
        </w:rPr>
        <w:t xml:space="preserve">Paslaugų prieinamumas</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Viešosios tarnybos, kurių interneto svetainės yra atviros visuomenei, turi teikti informaciją apie šių paslaugų prieinamumą, jų priklausomumą, infrastruktūrą ir procedūras.</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Interneto svetainės, mobiliųjų įrenginių taikomosios programos ir kiti viešųjų paslaugų siūlomi informacinių ir ryšių technologijų gaminiai ir paslaugos turi atitikti šio kodekso 5a priede nustatytas sąlygas ir standartą UNE-EN 301549:2022 arba jį pakeičiantį standartą pagal Europos Parlamento ir Tarybos direktyvą (ES) 2016/2102 ir 2018 m. rugsėjo 7 d. Karaliaus dekretą Nr. 112/2018 dėl viešojo sektoriaus interneto svetainių ir taikomųjų programų prieinamumo, nedarant poveikio kompetentingos institucijos šiuo klausimu Katalonijoje priimtam reglamentui.</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Prekybos centrų tinklų ir maisto produktų arba mišrių įstaigų, kurių viešajam naudojimui skirtas naudingasis plotas yra didesnis nei 500 m², interneto svetainės ir mobiliosios programos, suteikiančios galimybę pirkti internetu ir gauti gaminius į namus, turi būti prieinamos pagal 5a priedo 25 ir 26 dalių sąlygas ir atitikti bent dvigubą A (AA) prieinamumo lygį pagal WCAG 2.1 gaires šiais atvejais: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Kai kalbama apie naujai sukurtus puslapius ar taikomąsias programas.</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Keičiant esamus puslapius ar taikomąsias programas.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Kai 6b priedo 4 dalyje nustatytų terminų laikomasi pritaikant esamus puslapius ir taikomąsias programas.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Mobiliesiems įrenginiams skirti tinklalapiai ir taikomosios programos, kuriuose galima atlikti bankininkystės, sutarčių sudarymo ar bet kokio kito pobūdžio valdymo ar konsultavimosi dėl gaminių, dėl kurių sudaryta sutartis fizinėje įstaigoje, veiksmus, turi būti prieinami pagal 5a priedo 25 ir 26 dalių sąlygas ir atitikti bent dvigubą A (AA) prieinamumo lygį pagal WCAG 2.1 gaires šiais atvejais: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Kai kalbama apie naujai sukurtus puslapius ar taikomąsias programas.</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Keičiant esamus puslapius ar taikomąsias programas.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Kai 6b priedo 5 dalyje nustatytų terminų laikomasi pritaikant esamus puslapius ir taikomąsias programas.</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Viešbučių tinklų ir įstaigų, turinčių daugiau kaip 100 vietų, kuriuose galima sudaryti sutartis dėl apgyvendinimo ir internetinių paslaugų, interneto svetainės ir mobiliosios programos turi būti prieinamos pagal 5a priedo 25 ir 26 punktų sąlygas ir atitikti bent dvigubą A (AA) prieinamumo lygį pagal WCAG 2.1 gaires šiais atvejais: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Kai kalbama apie naujai sukurtus puslapius ar taikomąsias programas.</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Keičiant esamus puslapius ar taikomąsias programas.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Kai 6b priedo 7 dalyje nustatytų terminų laikomasi pritaikant esamus puslapius ir taikomąsias programas.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Įstaigų arba įstaigų asociacijų interneto svetainės ir mobiliosios programos turi būti prieinamos pagal 5a priedo 25 ir 26 dalyse nustatytas sąlygas;</w:t>
      </w:r>
      <w:r>
        <w:rPr>
          <w:sz w:val="22"/>
        </w:rPr>
        <w:t xml:space="preserve"> </w:t>
      </w:r>
      <w:r>
        <w:rPr>
          <w:sz w:val="22"/>
        </w:rPr>
        <w:t xml:space="preserve">atitikti bent dvigubą A (AA) prieinamumo lygį pagal WCAG 2.1 gaires ir pateikti ansktesnėse dalyse nurodytą informaciją šiais atvejais: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Kai kalbama apie naujai sukurtus puslapius ar taikomąsias programas.</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Keičiant esamus puslapius ar taikomąsias programas.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Kai 6b priedo 3 dalyje nustatytų terminų laikomasi pritaikant esamus puslapius ir taikomąsias programas.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Sporto įstaigų ir klubų, siūlančių pardavinėti bilietus į pasirodymus jų vietoje, interneto svetainės ir mobiliosios programos turi būti prieinamos ir teikti būtiną informaciją tomis pačiomis sąlygomis, kaip nustatyta 133 straipsnyje dėl paslaugų, susijusių su scenos menais.</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Formalųjį švietimą teikiančių švietimo įstaigų interneto svetainės ir mobiliosios programos turi būti prieinamos pagal 5a priedo 25 ir 26 dalių sąlygas ir atitikti bent dvigubą A (AA) prieinamumo lygį pagal WCAG 2.1 gaires šiais atvejais:</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Kai kalbama apie naujai sukurtus puslapius ar taikomąsias programas.</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Keičiant esamus puslapius ar taikomąsias programas.</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Kai 6b priedo 8 dalyje nustatytų terminų laikomasi pritaikant esamus puslapius ir taikomąsias programas.</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138 straipsnis.</w:t>
      </w:r>
      <w:r>
        <w:rPr>
          <w:sz w:val="22"/>
        </w:rPr>
        <w:tab/>
      </w:r>
      <w:r>
        <w:rPr>
          <w:sz w:val="22"/>
        </w:rPr>
        <w:t xml:space="preserve">Esminės paslaugos, visuotinės svarbos paslaugos arba valstybės finansuojamos paslaugos</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Katalonijos viešojo sektoriaus ir viešosios teisės bendrovių interneto svetainės, taip pat visos interneto svetainės, kurios pradėtos kurti už viešojo administravimo lėšas, ir subjektų ar įmonių, teikiančių viešąsias paslaugas pagal koncesiją ar sutartį su viešojo administravimo institucijomis, interneto svetainės turi atitikti 5a priedo 25 dalies reikalavimus ir pasiekti dvigubą A (AA) prieinamumo lygį pagal WCAG 2.1 gaires, nepažeidžiant Katalonijos kompetentingos institucijos šiuo klausimu priimto reglamento pagal 2018 m. rugsėjo 7 d. Karaliaus dekretą Nr. 1112/2018 dėl interneto svetainių ir mobiliųjų įrenginių taikomųjų programų prieinamumo viešajame sektoriuje.</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Privačių subjektų, teikiančių esmines paslaugas ar visuotinės svarbos paslaugas, įskaitant elektros energiją, vandenį ar dujas ir telekomunikacijas, taip pat sveikatos priežiūros, pašto ir bankininkystės paslaugas, interneto svetainės taip pat turi atitikti 5a priedo 25 dalies reikalavimus ir dvigubo A (AA) prieinamumo lygį pagal WCAG 2.1 gaires.</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Viešajame sektoriuje ir 138 straipsnio 1 ir 2 dalyse nurodytuose subjektuose naudojamos mobiliųjų įrenginių programos turi atitikti 5a priedo 26 dalyje nustatytus prieinamumo reikalavimus, nepažeidžiant Katalonijos kompetentingos institucijos šiuo klausimu priimto reglamento.</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Šiame straipsnyje nustatyti interneto svetainių ir mobiliųjų programų prieinamumo reikalavimai taikomi su sąlyga, kad jais subjektui, kuris turi juos taikyti, neužkraunama neproporcinga našta, atsižvelgiant į šias aplinkybes: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Konkretaus subjekto matmenys, ištekliai ir pobūdis.</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Subjekto sąnaudos ir nauda bei numatoma nauda naudotojams, atsižvelgiant į tos interneto svetainės ar taikomosios programos naudojimo dažnumą ir trukmę.</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Diskriminacinis poveikis neįgaliesiems, jei interneto svetainė ar taikomoji programa nėra prieinama rinkoje, interneto svetainėse ar alternatyviose taikomosiose programose, kuriose siūlomos tokios pačios funkcijos ir sąlygos.</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Viešasis sektorius arba subjektas, kuris naudojasi 138 straipsnio 4 dalyje numatyta išimtimi, turi paaiškinti, kurie prieinamumo reikalavimai negali būti įvykdyti interneto svetainės ar taikomosios programos prieinamumo deklaracijoje, ir turi pasiūlyti prieinamas alternatyvas pagal galimybes.</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Tinklalapiai ir mobiliosios programos turi atitikti pirmesnėse dalyse nustatytas prieinamumo sąlygas iki 6b priedo 2 dalyje nustatytų galutinių terminų.</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Paslaugų teikėjai ir gamintojai, tiekiantys IT įrangą ir programinę įrangą Katalonijos viešajam sektoriui ir 138 straipsnio 1 dalyje nurodytiems subjektams, turi apimti papildomus prieinamumo elementus ir funkcijas, kurių reikia, kad neįgaliesiems būtų suteikta prieiga prie skaitmeninio turinio.</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Viešieji ir privatieji televizijos tinklai Katalonijoje turi parengti planus dėl jų turinio prieinamumo, kad jų programos palaipsniui taptų prieinamos žmonėms, turintiems jutiminę ir protinę negalią.</w:t>
      </w:r>
      <w:r>
        <w:rPr>
          <w:sz w:val="22"/>
        </w:rPr>
        <w:t xml:space="preserve"> </w:t>
      </w:r>
      <w:r>
        <w:rPr>
          <w:sz w:val="22"/>
        </w:rPr>
        <w:t xml:space="preserve">Šie planai turi sudaryti sąlygas per ne ilgesnį kaip 3 metų laikotarpį nuo šio kodekso įsigaliojimo pasiekti šiuos tikslus:</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Visuomeniniai televizijos tinklai:</w:t>
      </w:r>
      <w:r>
        <w:rPr>
          <w:sz w:val="22"/>
        </w:rPr>
        <w:t xml:space="preserve"> </w:t>
      </w:r>
      <w:r>
        <w:rPr>
          <w:sz w:val="22"/>
        </w:rPr>
        <w:t xml:space="preserve">100 proc. programų turi būti subtitruotos, per savaitę turi būti transliuojama ne mažiau kaip 15 valandų turinio su garsiniu komentaru ir 10 valandų – katalonų gestų kalba.</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Privatūs televizijos tinklai:</w:t>
      </w:r>
      <w:r>
        <w:rPr>
          <w:sz w:val="22"/>
        </w:rPr>
        <w:t xml:space="preserve"> </w:t>
      </w:r>
      <w:r>
        <w:rPr>
          <w:sz w:val="22"/>
        </w:rPr>
        <w:t xml:space="preserve">75 proc. programų turi būti subtitruotos, per savaitę turi būti transliuojama ne mažiau kaip 10 valandų turinio su garsiniu komentaru ir 7 valandos – katalonų gestų kalba.</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Katalonų gestų kalba transliuojamose programose turi būti naujienų laidos ir laidos vaikams, kurias galima žiūrėti iš anksto įrašytas, kai ši paslauga teikiama.</w:t>
      </w:r>
      <w:r>
        <w:rPr>
          <w:sz w:val="22"/>
        </w:rPr>
        <w:t xml:space="preserve"> </w:t>
      </w:r>
      <w:r>
        <w:rPr>
          <w:sz w:val="22"/>
        </w:rPr>
        <w:t xml:space="preserve">Ši programa turi apimti kiekvieną savaitės dieną.</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Kinematografijos ir audiovizualinius kūrinius platinančios bendrovės turi įdiegti subtitravimo, garsinio komentaro ir garsinio naršymo sistemas, pageidautina užsienio ir vidaus filmuose, kurie atnešė daugiau pelno arba yra gavę nacionalinius ar tarptautinius apdovanojimus, kad juos būtų galima žiūrėti naudojantis DVD arba panašiomis šiomis savybėmis pasižyminčiomis sistemomis.</w:t>
      </w:r>
    </w:p>
    <w:p w14:paraId="0F3986EB" w14:textId="77777777" w:rsidR="003920DF" w:rsidRDefault="003920DF">
      <w:pPr>
        <w:rPr>
          <w:lang w:val="es-ES"/>
        </w:rPr>
      </w:pPr>
    </w:p>
    <w:p w14:paraId="44244122" w14:textId="3BAB5CCF" w:rsidR="00E526B5" w:rsidRDefault="00B670F2">
      <w:r>
        <w:rPr>
          <w:sz w:val="22"/>
        </w:rPr>
        <w:t xml:space="preserve">11 SKYRIUS.</w:t>
      </w:r>
      <w:r>
        <w:rPr>
          <w:sz w:val="22"/>
        </w:rPr>
        <w:t xml:space="preserve"> </w:t>
      </w:r>
      <w:r>
        <w:rPr>
          <w:sz w:val="22"/>
        </w:rPr>
        <w:t xml:space="preserve">Prieinamumo kokybės ženklas</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Viešos konsultacijos su kokybės ženklą turinčiomis įstaigomis, pastatais ir viešaisiais subjektais turi būti galimos bent internetu, nepažeidžiant kitų priemonių, kurios gali būti laikomos tinkamomis.</w:t>
      </w:r>
    </w:p>
    <w:p w14:paraId="6CBE5DDA" w14:textId="77777777" w:rsidR="00E526B5" w:rsidRDefault="00E526B5">
      <w:pPr>
        <w:rPr>
          <w:lang w:val="es-ES"/>
        </w:rPr>
      </w:pPr>
    </w:p>
    <w:p w14:paraId="3BFAD248" w14:textId="66A7955A" w:rsidR="00E526B5" w:rsidRDefault="00CF1E0D">
      <w:r>
        <w:rPr>
          <w:sz w:val="22"/>
        </w:rPr>
        <w:t xml:space="preserve">5a priedas.</w:t>
      </w:r>
      <w:r>
        <w:rPr>
          <w:sz w:val="22"/>
        </w:rPr>
        <w:t xml:space="preserve"> </w:t>
      </w:r>
      <w:r>
        <w:rPr>
          <w:sz w:val="22"/>
        </w:rPr>
        <w:t xml:space="preserve">Gaminių prieinamumo standartai</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Prieinami tinklalapiai</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Gairės, kurių turi būti laikomasi projektuojant ir kuriant svetainę bei nustatant jos prieinamumo sąlygas, yra šios:</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Konfigūruokite turinį taip, kad jį būtų galima pritaikyti prie skirtingų programinės įrangos, įrenginių ir palaikymo gaminių neprarandant informacijos ar struktūros.</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Pateikite tekstines alternatyvas arba netekstinio turinio (vaizdų, grafikos, daugialypės terpės turinio) aprašomąjį identifikavimą.</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Įtraukite multimedijos turinio subtitrus ir garsinį komentarą, kai to reikia norint tinkamai suprasti pranešimą.</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Numatykite mechanizmus, kurie leistų išjungti garsą ir reguliuoti jo garsumą.</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Nenaudokite spalvos kaip vienintelės priemonės informacijai perteikti, veiksmui nurodyti ar elementui atskirti.</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Tekstas ir vaizdai turi būti pakankamai kontrastingi fonui ir tokio dydžio, kad juos būtų galima patogiai skaityti.</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Teksto dydį turi būti galima koreguoti pačiame puslapyje, nenaudojant pagalbinių produktų ir neprarandant turinio ar funkcionalumo.</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Suteikite galimybę naudotis visomis puslapio funkcijomis klaviatūra, naudodami sprendimą, kuris neprieštarautų ekrano skaitytuvams ir didinimo priemonėms.</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Suteikite naudotojui galimybę valdyti automatiškai perkeliamą ar atnaujinamą informaciją ar objektus – juos sustabdyti, paslėpti arba reguliuoti jų dažnumą.</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Palengvinkite naršymą nuosekliai struktūrizuodami turinį ir pateikdami aiškius naršymo mechanizmus.</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Įtraukite rekomendacinę informaciją, kuri padėtų naudotojams suprasti sudėtingus elementus, ir numatykite mechanizmus, kurie padėtų aptikti ir išvengti naudotojų daromų klaidų įvedant duomenis.</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Nustatykite, kokia kalba vartojama kiekvienoje svetainės pastraipoje ar dokumente, kad ekrano skaitytuvai ir balso sintezatoriai galėtų automatiškai nustatyti ir pakeisti kalbą.</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Vartokite aiškią ir suprantamą kalbą, kad turinys būtų lengvai suprantamas, ir įtraukite labiausiai neįprastų žodžių apibrėžtis ir inicialų bei santrumpų reikšmes.</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Kuo labiau padidinkite suderinamumą su taikomosiomis programomis, programine įranga ir įrenginiais, kuriuos naudotojai gali turėti, įskaitant pagalbinius produktus.</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Užtikrinkite, kad internete skelbiami dokumentai taip pat būtų prieinami ir įskaitomi ekrano skaitytuvams.</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El. paštu, SMS žinutėmis ar formomis suteikite kitus nei telefonai prieinamus ryšio kanalus, kurių aptarnavimo laikas nėra diskriminacinis, palyginti su skambučio telefonu laiku.</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Laikykitės kriterijų pagal WCAG 2.1 gaires vienu iš jų lygiu, laikydamiesi standarte UNE 139803:2012 arba jį pakeičiančiame standarte nustatytų sąlygų, išskyrus atvejus, kai šiame kodekse reikalaujama aukštesnio lygio.</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Prieinamos mobiliosios programėlės</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Mobiliosios taikomosios programos turi atitikti standarte UNE 139803:2012 arba jį pakeičiančiame standarte nustatytas sąlygas ir atitikti šiuos bendruosius kriterijus:</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Visi pranešimai, pagalbos sistemos ir tekstai turi būti parašyti aiškia ir paprasta kalba.</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Tekstas turi būti suprantamas, jo dydis ir šriftas turi palengvinti skaitymą.</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Elementų spalvų kontrastas su fonu turi būti pakankamas.</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Valdikliai, objektai, piktogramos ir vaizdai turi būti atpažįstami, lengvai naudojami ir su jais turi būti susietas alternatyvus tekstas, nurodantis jų funkciją ar reikšmę.</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Įspėjamieji garsai turi turėti vaizdinius arba vibracinius pakaitalus.</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Paslaugos teikimo procesas turi būti sklandus ir greitas.</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Programa turi būti suderinama su pagalbiniais produktais, tokiais kaip ekrano skaitytuvai, didintuvai ir balso komandos.</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Programa turi būti suderinama su operacinės sistemos prieinamumo priemonėmis.</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6b priedas.</w:t>
      </w:r>
      <w:r>
        <w:rPr>
          <w:sz w:val="22"/>
        </w:rPr>
        <w:t xml:space="preserve"> </w:t>
      </w:r>
      <w:r>
        <w:rPr>
          <w:sz w:val="22"/>
        </w:rPr>
        <w:t xml:space="preserve">Esamų paslaugų pritaikymo prie nustatytų sąlygų terminai</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Suderinamumas su kitomis būtinomis sąlygomis</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Šio 6b priedo sąlygos nedaro poveikio pareigai iki nurodytų terminų laikytis būtinų prieinamumo sąlygų, jei keičiami esami elementai ar ištekliai.</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Katalonijos viešasis sektorius, viešosios teisės bendrovės ir viešųjų paslaugų teikėjai</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Nustatomi šie galutiniai terminai, per kuriuos Katalonijos viešojo sektoriaus, viešosios teisės bendrovių ir subjektų ar įmonių, teikiančių viešąsias paslaugas koncesijos ar sutarties su viešąja administravimo institucija pagrindu, interneto svetainės ir mobiliosios programėlės turi būti prieinamos ir atitikti 138 straipsnyje nurodytas sąlygas:</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metai nuo šio kodekso įsigaliojimo:</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Katalonijos viešojo sektoriaus ir viešosios teisės bendrovių interneto svetainės.</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metai nuo šio kodekso įsigaliojimo:</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Taikomosios programos mobiliesiems įrenginiams Katalonijos viešajame sektoriuje ir viešosios teisės bendrovėse.</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metai nuo šio kodekso įsigaliojimo:</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Subjektų ar įmonių, teikiančių viešąsias paslaugas pagal koncesiją arba pagal sutartį su viešojo administravimo institucija, interneto svetainės ir taikomosios programos, skirtos mobiliesiems įrenginiams.</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Nurodyti terminai nustatomi nepažeidžiant tų griežčiausių terminų, kurių reikalaujama dėl paslaugos charakteristikų, laikantis kitų šio priedo punktų arba kitų ją reglamentuojančių teisės aktų.</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Paslaugos, susijusios su scenos menais, kino teatrais ir sporto renginiais</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Kad įstaigos interneto svetainės ir elektroniniai bilietų pardavimo kanalai galėtų būti prieinami ir atitiktų 133 straipsnyje nustatytas sąlygas, nustatomi šie galutiniai terminai:</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metai nuo šio kodekso įsigaliojimo:</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Įmonių, turinčių ne mažiau kaip 2 000 vietų visame rajone, interneto svetainės ir mobiliosios programos.</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Internetinių bilietų pardavimo platformų, kurios valdo daugiau nei vieną įstaigą, turinčią 2 000 arba daugiau vietų, interneto svetainės ir mobiliosios programos.</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metai nuo šio kodekso įsigaliojimo:</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Internetinių bilietų pardavimo platformų, kurios valdo daugiau nei vieną įstaigą, turinčią mažiau kaip 2 000 vietų, interneto svetainės ir mobiliosios programos.</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metai nuo šio kodekso įsigaliojimo:</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Įmonių, turinčių mažiau nei 2 000 vietų visame rajone, interneto svetainės ir mobiliosios programos.</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Komercinės paslaugos</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Nustatomi šie galutiniai terminai, kad interneto svetainės ir mobiliosios programos, suteikiančios galimybę apsipirkti internetu, ir prekybos centrų tinklai, taip pat įmonės, turinčios maisto produktų ar mišrių įstaigų, galėtų būti prieinamos ir atitiktų 126 straipsnyje nustatytas sąlygas:</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metai nuo šio kodekso įsigaliojimo:</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Prekybos centrų tinklų, turinčių 10 ar daugiau parduotuvių ir daugiau nei 500 m² naudingojo ploto viešajam naudojimui skirtų patalpų, interneto svetainės ir programos mobiliesiems įrenginiams.</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metai nuo šio kodekso įsigaliojimo:</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Prekybos centrų tinklų, turinčių nuo 5 iki 9 parduotuvių ir daugiau kaip 500 m² naudingojo ploto viešajam naudojimui skirtų patalpų, interneto svetainės ir programos mobiliesiems įrenginiams.</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metai nuo šio kodekso įsigaliojimo:</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Prekybos centrų tinklų ir maisto produktų ar mišriųjų įstaigų, turinčių didesnes nei 500 m² naudingojo ploto viešam naudojimui skirtas patalpas, interneto svetainės ir programos mobiliesiems įrenginiams.</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Finansinės ir draudimo paslaugos</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Nustatomi šie galutiniai terminai, kad interneto svetainės ir programos, skirtos mobiliesiems įrenginiams, kuriomis galima atlikti bankines operacijas, sudaryti sutartis, konsultuotis su gydytojų komisijomis ar atlikti bet kokius kitus valdymo ar konsultavimosi veiksmus, susijusius su gaminiais, dėl kurių sudarytos sutartys su subjektu, būtų prieinamos ir atitiktų 127 straipsnyje nurodytas sąlygas:</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metai nuo šio kodekso įsigaliojimo:</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Interneto svetainės</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metai nuo šio kodekso įsigaliojimo:</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Mobiliųjų įrenginių programėlės.</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Su privačiu transportu susijusios paslaugos</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Nustatomi tokie galutiniai terminai, kad įmonės, siūlančios autonominio vairavimo automobilių nuomos paslaugas, kurių parką sudaro daugiau kaip 100 transporto priemonių, ir įmonės, teikiančios automobilių nuomos paslaugas vairuotojui ir turinčios daugiau kaip 50 transporto priemonių parką, galėtų laikytis 128 straipsnyje nustatytų sąlygų:</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metai nuo šio kodekso įsigaliojimo:</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Jos turi turėti transporto priemonių, kuriomis galima vežti nevairuojančius asmenis neįgaliųjų vežimėliuose ir kurios sudarytų ne mažiau kaip 1 proc. jų valdomo transporto priemonių parko.</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Jos turi turėti vairuotojams su judėjimo negalia pritaikytų transporto priemonių, kurios sudarytų ne mažiau kaip 0,5 proc. jų valdomo transporto priemonių parko.</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Ankstesniuose punktuose nurodytos paslaugos gali būti teikiamos nuosavomis transporto priemonėmis arba sudarant susitarimus su kitais veiklos vykdytojais, kurie užtikrina pakankamą prieinamumą.</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metai nuo šio kodekso įsigaliojimo:</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Ne mažiau kaip 0,5 proc. jų transporto priemonių parko transporto priemonių turi būti pritaikytos vežti nevairuojančius asmenis neįgaliųjų vežimėliuose.</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metai nuo šio kodekso įsigaliojimo:</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Ne mažiau kaip 2 proc. jų transporto priemonių parko transporto priemonių turi būti pritaikytos vežti nevairuojančius asmenis neįgaliųjų vežimėliuose.</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Ne mažiau kaip 0,5 proc. jų transporto priemonių parko transporto priemonių turi būti pritaikytos riboto judumo vairuotojams.</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Paslaugos, susijusios su turistų apgyvendinimu</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Nustatomi tokie galutiniai terminai, kad viešbučių tinklų ir įstaigų, turinčių daugiau kaip 100 kambarių ir suteikiančių galimybę rezervuoti apgyvendinimą ir internetines paslaugas, interneto svetainės ir mobiliosios programos galėtų būti prieinamos ir atitikti 130 straipsnyje nurodytas sąlygas:</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metai nuo šio kodekso įsigaliojimo:</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Viešbučių tinklų, kuriuose yra 5 ar daugiau viešbučių ir kurių bendra pasiūla viršija 500 kambarių, interneto svetainės ir mobiliosios programos.</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metai nuo šio kodekso įsigaliojimo:</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Viešbučių tinklų, kuriuose yra iki 4 viešbučių ir kurių bendra pasiūla viršija 500 kambarių, interneto svetainės ir mobiliosios programos.</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500 ar daugiau kambarių turinčių viešbučių interneto svetainės ir mobiliosios programos.</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metai nuo šio kodekso įsigaliojimo:</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Viešbučių tinklų, kurių bendra pasiūla siekia nuo 100 iki 500 kambarių, interneto svetainės ir mobiliosios programos.</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Viešbučių, kuriuose yra nuo 50 iki 500 kambarių, interneto svetainės ir programos mobiliesiems įrenginiams.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Švietimo paslaugos</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Kad formalųjį švietimą teikiančių švietimo įstaigų interneto svetainės ir mobiliosios programos būtų prieinamos ir atitiktų 135 straipsnyje nustatytas sąlygas, nustatomi šie galutiniai terminai:</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metai nuo šio kodekso įsigaliojimo:</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Tinklalapiai ir programos mobiliesiems įrenginiams, leidžiančios ieškoti akademinių įrašų, tvarkyti sąskaitas faktūras ar atlikti kitus internetinius procesus.</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metai nuo šio kodekso įsigaliojimo:</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Mobiliesiems įrenginiams skirtos interneto svetainės ir taikomosios programos, kuriose pateikiama informacija apie mokyklą, infrastruktūrą ir švietimo pasiūlymus.</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Sveikatos paslaugos</w:t>
      </w:r>
    </w:p>
    <w:p w14:paraId="62E28D59" w14:textId="77777777" w:rsidR="00E526B5" w:rsidRPr="000F0A63" w:rsidRDefault="00E526B5" w:rsidP="00E526B5">
      <w:pPr>
        <w:tabs>
          <w:tab w:val="left" w:pos="284"/>
        </w:tabs>
        <w:jc w:val="both"/>
        <w:rPr>
          <w:bCs/>
          <w:sz w:val="22"/>
          <w:szCs w:val="22"/>
          <w:rFonts w:cs="Arial"/>
        </w:rPr>
      </w:pPr>
      <w:r>
        <w:rPr>
          <w:sz w:val="22"/>
        </w:rPr>
        <w:t xml:space="preserve">Sveikatos centrai, kuriuose yra ne mažiau kaip 50 lovų, privalo laikytis šių terminų ir sąlygų:</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metai nuo šio kodekso įsigaliojimo:</w:t>
      </w:r>
    </w:p>
    <w:p w14:paraId="727C4E74" w14:textId="77777777" w:rsidR="00E526B5" w:rsidRPr="000F0A63" w:rsidRDefault="00E526B5" w:rsidP="00E526B5">
      <w:pPr>
        <w:tabs>
          <w:tab w:val="left" w:pos="284"/>
        </w:tabs>
        <w:jc w:val="both"/>
        <w:rPr>
          <w:sz w:val="22"/>
          <w:szCs w:val="22"/>
          <w:rFonts w:cs="Arial"/>
        </w:rPr>
      </w:pPr>
      <w:r>
        <w:rPr>
          <w:sz w:val="22"/>
        </w:rPr>
        <w:t xml:space="preserve">turėti infrastruktūrą, mobiliuosius įrenginius ir protokolus, skirtus aptarnauti kurčiuosius katalonų gestų kalba, naudojant nuotolinio vertimo žodžiu technologiją, kad būtų galima suteikti ne mažiau kaip 2 proc. lovų.</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