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 xml:space="preserve">4. NODAĻA.</w:t>
      </w:r>
      <w:r>
        <w:rPr>
          <w:sz w:val="22"/>
        </w:rPr>
        <w:t xml:space="preserve"> </w:t>
      </w:r>
      <w:r>
        <w:rPr>
          <w:sz w:val="22"/>
        </w:rPr>
        <w:t xml:space="preserve">Transportlīdzekļu piekļūstamība</w:t>
      </w:r>
    </w:p>
    <w:p w14:paraId="456422CC" w14:textId="551AF3E3" w:rsidR="00CC0ADF" w:rsidRPr="00CC0ADF" w:rsidRDefault="00CC0ADF" w:rsidP="000F4434">
      <w:pPr>
        <w:pStyle w:val="ListParagraph"/>
        <w:numPr>
          <w:ilvl w:val="1"/>
          <w:numId w:val="2"/>
        </w:numPr>
        <w:ind w:left="709"/>
        <w:jc w:val="both"/>
        <w:outlineLvl w:val="3"/>
        <w:rPr>
          <w:bCs/>
          <w:sz w:val="22"/>
          <w:szCs w:val="22"/>
          <w:rFonts w:cs="Arial"/>
        </w:rPr>
      </w:pPr>
      <w:r>
        <w:rPr>
          <w:sz w:val="22"/>
        </w:rPr>
        <w:t xml:space="preserve">Ja taksometra pakalpojumu piedāvā, izmantojot tālruņa rezervācijas, jāpaplašina šā pakalpojuma pieprasīšanas līdzekļi, izmantojot jaunās tehnoloģijas, lietojumprogrammas, internetu, īsziņas, faksus vai līdzīgus līdzekļus, lai visi lietotāji, tostarp tie, kam ir dzirdes traucējumi, varētu brīvi pieprasīt pakalpojumu.</w:t>
      </w:r>
    </w:p>
    <w:p w14:paraId="2D97C4D3" w14:textId="77777777" w:rsidR="00CC0ADF" w:rsidRPr="000F0A63" w:rsidRDefault="00CC0ADF" w:rsidP="000F4434">
      <w:pPr>
        <w:pStyle w:val="ListParagraph"/>
        <w:numPr>
          <w:ilvl w:val="1"/>
          <w:numId w:val="2"/>
        </w:numPr>
        <w:ind w:left="709"/>
        <w:jc w:val="both"/>
        <w:outlineLvl w:val="3"/>
        <w:rPr>
          <w:bCs/>
          <w:sz w:val="22"/>
          <w:szCs w:val="22"/>
          <w:rFonts w:cs="Arial"/>
        </w:rPr>
      </w:pPr>
      <w:r>
        <w:rPr>
          <w:sz w:val="22"/>
        </w:rPr>
        <w:t xml:space="preserve">Ja pakalpojumam “taksometrs pēc pieprasījuma” ir tīmekļvietne, tai jābūt piekļūstamai vismaz Tīmekļa satura piekļūstamības nostādņu (</w:t>
      </w:r>
      <w:r>
        <w:rPr>
          <w:sz w:val="22"/>
          <w:i/>
          <w:iCs/>
        </w:rPr>
        <w:t xml:space="preserve">WCAG</w:t>
      </w:r>
      <w:r>
        <w:rPr>
          <w:sz w:val="22"/>
        </w:rPr>
        <w:t xml:space="preserve">) 2.1. versijas AA atbilstības līmenī.</w:t>
      </w:r>
      <w:r>
        <w:rPr>
          <w:sz w:val="22"/>
        </w:rPr>
        <w:t xml:space="preserve"> </w:t>
      </w:r>
    </w:p>
    <w:p w14:paraId="4AEFA1EE" w14:textId="2FEB6DE3" w:rsidR="00CC0ADF" w:rsidRDefault="00CC0ADF" w:rsidP="000F4434">
      <w:pPr>
        <w:pStyle w:val="ListParagraph"/>
        <w:numPr>
          <w:ilvl w:val="1"/>
          <w:numId w:val="3"/>
        </w:numPr>
        <w:ind w:left="709" w:hanging="709"/>
        <w:jc w:val="both"/>
        <w:outlineLvl w:val="3"/>
        <w:rPr>
          <w:bCs/>
          <w:sz w:val="22"/>
          <w:szCs w:val="22"/>
          <w:rFonts w:cs="Arial"/>
        </w:rPr>
      </w:pPr>
      <w:r>
        <w:rPr>
          <w:sz w:val="22"/>
        </w:rPr>
        <w:t xml:space="preserve">Uz tāda taksometra nolīgšanu, kas personām ar ierobežotām pārvietošanās spējām piekļūstams, izmantojot tālruni, internetu vai mobilo lietojumprogrammu, nevar attiecināt paredzamo pieprasījuma papildinājumu.</w:t>
      </w:r>
      <w:r>
        <w:rPr>
          <w:sz w:val="22"/>
        </w:rPr>
        <w:t xml:space="preserve"> </w:t>
      </w:r>
      <w:r>
        <w:rPr>
          <w:sz w:val="22"/>
        </w:rPr>
        <w:t xml:space="preserve">Invaliditātes karte ir pierādījums, ja tā tiek pieprasīta.</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 xml:space="preserve">5. NODAĻA.</w:t>
      </w:r>
      <w:r>
        <w:rPr>
          <w:sz w:val="22"/>
        </w:rPr>
        <w:t xml:space="preserve"> </w:t>
      </w:r>
      <w:r>
        <w:rPr>
          <w:sz w:val="22"/>
        </w:rPr>
        <w:t xml:space="preserve">Produktu piekļūstamība</w:t>
      </w:r>
    </w:p>
    <w:p w14:paraId="183BC7CF" w14:textId="76471CF5" w:rsidR="00CC0ADF" w:rsidRPr="000F0A63" w:rsidRDefault="00CC0ADF" w:rsidP="00CC0ADF">
      <w:pPr>
        <w:keepNext/>
        <w:jc w:val="both"/>
        <w:outlineLvl w:val="2"/>
        <w:rPr>
          <w:bCs/>
          <w:sz w:val="22"/>
          <w:szCs w:val="22"/>
          <w:rFonts w:cs="Arial"/>
        </w:rPr>
      </w:pPr>
      <w:bookmarkStart w:id="0" w:name="_Ref447791242"/>
      <w:r>
        <w:rPr>
          <w:sz w:val="22"/>
        </w:rPr>
        <w:t xml:space="preserve">116. pants.</w:t>
      </w:r>
      <w:r>
        <w:rPr>
          <w:sz w:val="22"/>
        </w:rPr>
        <w:tab/>
      </w:r>
      <w:r>
        <w:rPr>
          <w:sz w:val="22"/>
        </w:rPr>
        <w:t xml:space="preserve">Patēriņa preces</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bCs/>
          <w:sz w:val="22"/>
          <w:szCs w:val="22"/>
          <w:rFonts w:cs="Arial"/>
        </w:rPr>
      </w:pPr>
      <w:r>
        <w:rPr>
          <w:sz w:val="22"/>
        </w:rPr>
        <w:t xml:space="preserve">Uzskata, ka produkts ir piekļūstams, ja tas atbilst šādiem nosacījumiem:</w:t>
      </w:r>
    </w:p>
    <w:p w14:paraId="197D9229"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tam ir īpašībām atbilstīga piekļūstama etiķete, kas ļauj to identificēt, norādot nosaukumu un būtiskāko informāciju;</w:t>
      </w:r>
    </w:p>
    <w:p w14:paraId="015CE9DE"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tā konstrukcija atbilst universālā dizaina kritērijiem ar jebkuram lietotājam piemērotiem lietošanas un drošības nosacījumiem;</w:t>
      </w:r>
    </w:p>
    <w:p w14:paraId="64849B40"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papildu informāciju, norādījumus vai prospektus var skatīt, izmantojot internetu, ierīču lietojumprogrammas un jaunas tehnoloģijas, un piekļūstamais saturs atbilst 5.a pielikuma 25. un 26. punkta nosacījumiem.</w:t>
      </w:r>
    </w:p>
    <w:p w14:paraId="4E44C98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Uzņēmumi, kas tirgo produktu, atbild par to, lai tiktu ievēroti tam piemērojamie piekļuves nosacījumi.</w:t>
      </w:r>
    </w:p>
    <w:p w14:paraId="3FF43F32"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Farmaceitiskajiem un bīstamajiem produktiem jāietver datu elementi un sistēmas, lai neredzīgiem vai nedzirdīgiem cilvēkiem būtu piekļuve šādai informācijai:</w:t>
      </w:r>
      <w:r>
        <w:rPr>
          <w:sz w:val="22"/>
        </w:rPr>
        <w:t xml:space="preserve">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produkta nosaukuma identifikācija uz iepakojuma, izmantojot Braila rakstu un grafisko atveidojumu;</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derīguma termiņš uz iepakojuma, izmantojot Braila rakstu un grafisko atveidojumu vai citus alternatīvus līdzekļus, kas nodrošina tādas pašas īpašības;</w:t>
      </w:r>
      <w:r>
        <w:rPr>
          <w:sz w:val="22"/>
        </w:rPr>
        <w:t xml:space="preserve">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i/>
          <w:sz w:val="22"/>
          <w:szCs w:val="22"/>
          <w:rFonts w:cs="Arial"/>
        </w:rPr>
      </w:pPr>
      <w:r>
        <w:rPr>
          <w:sz w:val="22"/>
        </w:rPr>
        <w:t xml:space="preserve">produkta galvenās īpašības, tostarp tā sastāvs un uzglabāšana, izmantojot audio meklēšanu internetā vai citus līdzekļus, kas ļauj izmantot jaunas tehnoloģijas ar tādu pašu efektivitāti, ja to pieprasa apvienības cilvēkiem ar redzes traucējumiem.</w:t>
      </w:r>
      <w:r>
        <w:rPr>
          <w:sz w:val="22"/>
        </w:rPr>
        <w:t xml:space="preserve"> </w:t>
      </w:r>
    </w:p>
    <w:p w14:paraId="4F2A53F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Lielveikalu ķēdēm un uzņēmumiem, kuros ir pārtikas vai jauktu produktu nodaļas, visās vietās, kur tiem publiskai lietošanai ir vairāk nekā 250 m² derīgas telpas, pēc neredzīgas personas vai viņa radinieka pieprasījuma jānodrošina šādi nosacījumi:</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vismaz viena no nodaļām apdzīvotā vietā uz ātrbojīgiem produktiem vai produktiem, kas var radīt neskaidrību, nodrošina nosaukumu un derīguma termiņu marķēšanu Braila rakstā, izmantojot printerus vai sistēmas, ar kuriem tos Braila rakstā var marķēt nodaļā uz vietas;</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produkti, ko pārdod tiešsaistē un piegādā mājās, arī ir marķēti Braila rakstā, kā norādīts iepriekšējā punktā;</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komerciāla izplatīšana, ko veic, izmantojot internetu vai citus līdzekļus, piekļūstamā formātā sniedz informāciju par to, kurās telpās ir iespējams marķēt produktus Braila rakstā.</w:t>
      </w:r>
    </w:p>
    <w:p w14:paraId="5332F12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Pašvaldībās, kurās ir vairāk nekā 50 000 iedzīvotāju, katru apkaimi uzskata par atšķirīgu teritoriālo teritoriju un iepriekšējā punkta piemērošanas nolūkā pielīdzina apdzīvotai vietai.</w:t>
      </w:r>
      <w:r>
        <w:rPr>
          <w:sz w:val="22"/>
        </w:rPr>
        <w:t xml:space="preserve"> </w:t>
      </w:r>
    </w:p>
    <w:p w14:paraId="6459331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i/>
          <w:iCs/>
        </w:rPr>
        <w:t xml:space="preserve">Generalitat</w:t>
      </w:r>
      <w:r>
        <w:rPr>
          <w:sz w:val="22"/>
        </w:rPr>
        <w:t xml:space="preserve"> administrācijai ir pakāpeniski jāizstrādā tehniskie norādījumi, kas ietver jaunus tehnoloģiskos sasniegumus, un jānosaka piekļūstamā marķējuma specifikācijas, termiņi, parametri un kritēriji, kā arī universālā dizaina vadlīnijas, kas piemērojamas produktiem dažādās tirdzniecības nozarēs.</w:t>
      </w:r>
      <w:r>
        <w:rPr>
          <w:sz w:val="22"/>
        </w:rPr>
        <w:t xml:space="preserve"> </w:t>
      </w:r>
    </w:p>
    <w:p w14:paraId="4D08CFD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Patērētājiem ar redzes traucējumiem un nedzirdību ir tādas pašas tiesības kā visiem patērētājiem un lietotājiem neatkarīgi, parasti, viegli, nekavējoties un ar vienādiem nosacījumiem piekļūt tādai pašai marķējuma informācijai par produktu.</w:t>
      </w:r>
      <w:r>
        <w:rPr>
          <w:sz w:val="22"/>
        </w:rPr>
        <w:t xml:space="preserve"> </w:t>
      </w:r>
      <w:r>
        <w:rPr>
          <w:sz w:val="22"/>
        </w:rPr>
        <w:t xml:space="preserve">Tādēļ piekļūstamam marķējumam jāatbilst šādiem nosacījumiem:</w:t>
      </w:r>
    </w:p>
    <w:p w14:paraId="661B566E"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tam jāsniedz iespējami vairāk informācijas, patērētājiem ar invaliditāti nodrošinot tādus pašu nosacījumus kā citiem patērētājiem;</w:t>
      </w:r>
    </w:p>
    <w:p w14:paraId="41CFB18C"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tam jāļauj iegūt informāciju neatkarīgi, ātri, ērti, tieši un standartizēti, nepieprasot izsmeļošas tehniskās zināšanas vai tehnoloģisko līdzekļu izmantošanu;</w:t>
      </w:r>
    </w:p>
    <w:p w14:paraId="57DB1DC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tas nevar radīt papildu izmaksas patērētājiem ar invaliditāti;</w:t>
      </w:r>
    </w:p>
    <w:p w14:paraId="0C13286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tam nav jārada nesamērīgas izmaksas uzņēmumiem;</w:t>
      </w:r>
    </w:p>
    <w:p w14:paraId="5602A71A"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atbildīgajiem uzņēmumiem, kas piedāvā elektroniskos pārdošanas pakalpojumus, attiecīgajā tīmekļvietnē ir jāiekļauj iespēja šādā veidā iegādātus produktus piegādāt ar piekļūstamu marķējumu.</w:t>
      </w:r>
    </w:p>
    <w:p w14:paraId="3ED1718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Patērētāju šķīrējtiesas sistēmai un tās procedūrām un procesiem jābūt piekļūstamiem cilvēkiem ar invaliditāti.</w:t>
      </w:r>
    </w:p>
    <w:p w14:paraId="03FE17A7"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Publiskiem un privātiem patērētāju pakalpojumu birojiem, nodrošinot pietiekamus atbalsta līdzekļus, jāveic pasākumi, lai atvieglotu saziņas piekļūstamību nedzirdīgiem cilvēkiem, kuri sazinās zīmju valodā un mutiski.</w:t>
      </w:r>
      <w:r>
        <w:rPr>
          <w:sz w:val="22"/>
        </w:rPr>
        <w:t xml:space="preserve"> </w:t>
      </w:r>
      <w:r>
        <w:rPr>
          <w:sz w:val="22"/>
        </w:rPr>
        <w:t xml:space="preserve">Turklāt to rīcībā jābūt dzirdes cilpai, kas uzstādīta 20 % sabiedrisko pakalpojumu dienestu, un ne vēlāk kā 3 gadu laikā pēc šā kodeksa stāšanās spēkā to darbiniekiem jābūt gataviem sniegt informāciju cilvēkiem ar invaliditāti.</w:t>
      </w:r>
    </w:p>
    <w:p w14:paraId="178D066A" w14:textId="77777777" w:rsidR="00CC0ADF" w:rsidRDefault="00CC0ADF">
      <w:pPr>
        <w:rPr>
          <w:lang w:val="es-ES"/>
        </w:rPr>
      </w:pPr>
    </w:p>
    <w:p w14:paraId="3EF53236" w14:textId="476D7F11" w:rsidR="00E526B5" w:rsidRDefault="00B670F2">
      <w:r>
        <w:rPr>
          <w:sz w:val="22"/>
        </w:rPr>
        <w:t xml:space="preserve">6. NODAĻA.</w:t>
      </w:r>
      <w:r>
        <w:rPr>
          <w:sz w:val="22"/>
        </w:rPr>
        <w:t xml:space="preserve"> </w:t>
      </w:r>
      <w:r>
        <w:rPr>
          <w:sz w:val="22"/>
        </w:rPr>
        <w:t xml:space="preserve">Pakalpojumu piekļūstamība</w:t>
      </w:r>
    </w:p>
    <w:p w14:paraId="7DEC37FB" w14:textId="27CCD605" w:rsidR="00CC0ADF" w:rsidRPr="00CC0ADF" w:rsidRDefault="00CC0ADF" w:rsidP="000F4434">
      <w:pPr>
        <w:pStyle w:val="ListParagraph"/>
        <w:numPr>
          <w:ilvl w:val="1"/>
          <w:numId w:val="9"/>
        </w:numPr>
        <w:ind w:left="0" w:firstLine="0"/>
        <w:jc w:val="both"/>
        <w:outlineLvl w:val="3"/>
        <w:rPr>
          <w:bCs/>
          <w:sz w:val="22"/>
          <w:szCs w:val="22"/>
          <w:rFonts w:cs="Arial"/>
        </w:rPr>
      </w:pPr>
      <w:r>
        <w:rPr>
          <w:sz w:val="22"/>
        </w:rPr>
        <w:t xml:space="preserve">Sabiedrisko pakalpojumu sniedzējiem, kuru tīmekļvietnes ir atvērtas sabiedrībai, ir jāsniedz informācija par šo pakalpojumu piekļūstamību un to pakārtojumu, aprīkojumu un procedūrām.</w:t>
      </w:r>
    </w:p>
    <w:p w14:paraId="6A2C95FC" w14:textId="77777777" w:rsidR="00CC0ADF" w:rsidRPr="000F0A63" w:rsidRDefault="00CC0ADF" w:rsidP="000F4434">
      <w:pPr>
        <w:pStyle w:val="ListParagraph"/>
        <w:numPr>
          <w:ilvl w:val="1"/>
          <w:numId w:val="9"/>
        </w:numPr>
        <w:ind w:left="0" w:firstLine="0"/>
        <w:jc w:val="both"/>
        <w:outlineLvl w:val="3"/>
        <w:rPr>
          <w:bCs/>
          <w:sz w:val="22"/>
          <w:szCs w:val="22"/>
          <w:rFonts w:cs="Arial"/>
        </w:rPr>
      </w:pPr>
      <w:r>
        <w:rPr>
          <w:sz w:val="22"/>
        </w:rPr>
        <w:t xml:space="preserve">Tīmekļvietnēm, mobilajām ierīcēm paredzētām lietojumprogrammām un citiem informācijas un sakaru tehnoloģiju produktiem un pakalpojumiem, ko piedāvā sabiedrisko pakalpojumu sniedzēji, jāatbilst šā kodeksa 5.a pielikumā izklāstītajiem nosacījumiem un standartam UNE-EN 301549:2022 vai standartam, kas to aizstāj, saskaņā ar Eiropas Parlamenta un Padomes Direktīvu (ES) 2016/2102 un transponēšanu, kas veikta ar Karaļa 2018. gada 7. septembra Dekrētu Nr. 112/2018 par publiskā sektora struktūru tīmekļvietņu un mobilo ierīču lietotņu piekļūstamību, neskarot noteikumus, ko šajā jautājumā Katalonijā pieņēmusi kompetentā iestāde.</w:t>
      </w:r>
      <w:r>
        <w:rPr>
          <w:sz w:val="22"/>
        </w:rPr>
        <w:t xml:space="preserve">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sz w:val="22"/>
          <w:szCs w:val="22"/>
          <w:rFonts w:cs="Arial"/>
        </w:rPr>
      </w:pPr>
      <w:r>
        <w:rPr>
          <w:sz w:val="22"/>
        </w:rPr>
        <w:t xml:space="preserve">Lielveikalu ķēžu un pārtikas vai jauktu uzņēmumu, kuru lietderīgā platība ir lielāka par 500 m² un kuri piedāvā iespēju iegādāties tiešsaistē un saņemt produktus, izmantojot piegādi mājās, tīmekļvietnēm un mobilajām lietojumprogrammām jābūt piekļūstamām saskaņā ar 5.a pielikuma 25. un 26. punkta nosacījumiem un saskaņā ar Tīmekļa satura piekļūstamības nostādņu (</w:t>
      </w:r>
      <w:r>
        <w:rPr>
          <w:sz w:val="22"/>
          <w:i/>
          <w:iCs/>
        </w:rPr>
        <w:t xml:space="preserve">WCAG</w:t>
      </w:r>
      <w:r>
        <w:rPr>
          <w:sz w:val="22"/>
        </w:rPr>
        <w:t xml:space="preserve">) 2.1. versiju jāsasniedz vismaz piekļūstamības atbilstības AA līmenis šādās situācijās:</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jaunizveidotām lapām vai lietojumprogrammām;</w:t>
      </w:r>
      <w:r>
        <w:rPr>
          <w:sz w:val="22"/>
        </w:rPr>
        <w:t xml:space="preserve">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esošo lapu vai lietojumprogrammu izmaiņu gadījumos;</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ja ir ievēroti 6.b pielikuma 4. punktā noteiktie termiņi, pielāgojot esošās lapas un lietojumprogrammas.</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bCs/>
          <w:sz w:val="22"/>
          <w:szCs w:val="22"/>
          <w:rFonts w:cs="Arial"/>
        </w:rPr>
      </w:pPr>
      <w:r>
        <w:rPr>
          <w:sz w:val="22"/>
        </w:rPr>
        <w:t xml:space="preserve">Mobilajām ierīcēm paredzētām tīmekļa lapām un lietojumprogrammām, kas nodrošina banku pakalpojumus, līgumu slēgšanu vai cita veida pārvaldību vai konsultācijas attiecībā uz produktiem, par kuriem līgums noslēgts fiziskā birojā, jābūt piekļūstamām saskaņā ar 5.a pielikuma 25. un 26. punkta nosacījumiem un saskaņā ar Tīmekļa satura piekļūstamības nostādņu (</w:t>
      </w:r>
      <w:r>
        <w:rPr>
          <w:sz w:val="22"/>
          <w:i/>
          <w:iCs/>
        </w:rPr>
        <w:t xml:space="preserve">WCAG</w:t>
      </w:r>
      <w:r>
        <w:rPr>
          <w:sz w:val="22"/>
        </w:rPr>
        <w:t xml:space="preserve">) 2.1. versiju jāsasniedz vismaz piekļūstamības atbilstības AA līmenis šādās situācijās:</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jaunizveidotām lapām vai lietojumprogrammām;</w:t>
      </w:r>
      <w:r>
        <w:rPr>
          <w:sz w:val="22"/>
        </w:rPr>
        <w:t xml:space="preserve">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esošo lapu vai lietojumprogrammu izmaiņu gadījumos;</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ja ir ievēroti 6.b pielikuma 5. punktā noteiktie termiņi, esošo lapu un lietojumprogrammu pielāgošanai.</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bCs/>
          <w:sz w:val="22"/>
          <w:szCs w:val="22"/>
          <w:rFonts w:cs="Arial"/>
        </w:rPr>
      </w:pPr>
      <w:r>
        <w:rPr>
          <w:sz w:val="22"/>
        </w:rPr>
        <w:t xml:space="preserve">Viesnīcu ķēžu un uzņēmumu, kuru kapacitāte pārsniedz 100 vietas, tīmekļvietnēm un mobilajām lietojumprogrammām, kas nodrošina izmitināšanas līgumu slēgšanu un tiešsaistes pakalpojumus, jābūt piekļūstamām saskaņā ar 5.a pielikuma 25. un 26. punkta nosacījumiem un saskaņā ar Tīmekļa satura piekļūstamības nostādņu (</w:t>
      </w:r>
      <w:r>
        <w:rPr>
          <w:sz w:val="22"/>
          <w:i/>
          <w:iCs/>
        </w:rPr>
        <w:t xml:space="preserve">WCAG</w:t>
      </w:r>
      <w:r>
        <w:rPr>
          <w:sz w:val="22"/>
        </w:rPr>
        <w:t xml:space="preserve">) 2.1. versiju jāsasniedz vismaz piekļūstamības atbilstības AA līmenis šādās situācijās:</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jaunizveidotām lapām vai lietojumprogrammām;</w:t>
      </w:r>
      <w:r>
        <w:rPr>
          <w:sz w:val="22"/>
        </w:rPr>
        <w:t xml:space="preserve">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esošo lapu vai lietojumprogrammu izmaiņu gadījumos;</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ja ir ievēroti 6.b pielikuma 7. punktā noteiktie termiņi esošo lapu un lietojumprogrammu pielāgošanai.</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sz w:val="22"/>
          <w:szCs w:val="22"/>
          <w:rFonts w:cs="Arial"/>
        </w:rPr>
      </w:pPr>
      <w:r>
        <w:rPr>
          <w:sz w:val="22"/>
        </w:rPr>
        <w:t xml:space="preserve">Uzņēmumu vai uzņēmumu apvienību tīmekļvietnēm un mobilajām lietojumprogrammām jābūt piekļūstamām saskaņā ar 5.a pielikuma 25. un 26. punktā izklāstītajiem nosacījumiem</w:t>
      </w:r>
      <w:r>
        <w:rPr>
          <w:sz w:val="22"/>
        </w:rPr>
        <w:t xml:space="preserve"> </w:t>
      </w:r>
      <w:r>
        <w:rPr>
          <w:sz w:val="22"/>
        </w:rPr>
        <w:t xml:space="preserve">un saskaņā ar Tīmekļa satura piekļūstamības nostādņu (</w:t>
      </w:r>
      <w:r>
        <w:rPr>
          <w:sz w:val="22"/>
          <w:i/>
          <w:iCs/>
        </w:rPr>
        <w:t xml:space="preserve">WCAG</w:t>
      </w:r>
      <w:r>
        <w:rPr>
          <w:sz w:val="22"/>
        </w:rPr>
        <w:t xml:space="preserve">) 2.1. versiju jāsasniedz vismaz piekļūstamības atbilstības AA līmenis, kā arī jāsniedz iepriekšējos punktos norādītā informācija šādās situācijās:</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jaunizveidotām lapām vai lietojumprogrammām;</w:t>
      </w:r>
      <w:r>
        <w:rPr>
          <w:sz w:val="22"/>
        </w:rPr>
        <w:t xml:space="preserve">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esošo lapu vai lietojumprogrammu izmaiņu gadījumos;</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ja ir ievēroti 6.b pielikuma 3. punktā noteiktie termiņi esošo lapu un lietojumprogrammu pielāgošanai.</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bCs/>
          <w:sz w:val="22"/>
          <w:szCs w:val="22"/>
          <w:rFonts w:cs="Arial"/>
        </w:rPr>
      </w:pPr>
      <w:r>
        <w:rPr>
          <w:sz w:val="22"/>
        </w:rPr>
        <w:t xml:space="preserve">Sporta iestāžu un klubu tīmekļvietnēm un mobilajām lietojumprogrammām, kas piedāvā biļešu pārdošanu izrādēm to norises vietā, jābūt piekļūstamām un jāsniedz vajadzīgā informācija saskaņā ar tiem pašiem nosacījumiem, kas 133. pantā paredzēti attiecībā uz pakalpojumiem, kas saistīti ar izpildītājmākslu.</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bCs/>
          <w:sz w:val="22"/>
          <w:szCs w:val="22"/>
          <w:rFonts w:cs="Arial"/>
        </w:rPr>
      </w:pPr>
      <w:r>
        <w:rPr>
          <w:sz w:val="22"/>
        </w:rPr>
        <w:t xml:space="preserve">Tīmekļvietnēm un mobilajām lietojumprogrammām izglītības iestādēs, kas nodrošina formālo izglītību, jābūt piekļūstamām saskaņā ar 5.a pielikuma 25. un 26. punkta nosacījumiem un saskaņā ar Tīmekļa satura piekļūstamības nostādņu (</w:t>
      </w:r>
      <w:r>
        <w:rPr>
          <w:sz w:val="22"/>
          <w:i/>
          <w:iCs/>
        </w:rPr>
        <w:t xml:space="preserve">WCAG</w:t>
      </w:r>
      <w:r>
        <w:rPr>
          <w:sz w:val="22"/>
        </w:rPr>
        <w:t xml:space="preserve">) 2.1. versiju jāsasniedz vismaz piekļūstamības atbilstības AA līmenis šādās situācijās:</w:t>
      </w:r>
    </w:p>
    <w:p w14:paraId="46144290"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jaunizveidotām lapām vai lietojumprogrammām;</w:t>
      </w:r>
      <w:r>
        <w:rPr>
          <w:sz w:val="22"/>
        </w:rPr>
        <w:t xml:space="preserve"> </w:t>
      </w:r>
    </w:p>
    <w:p w14:paraId="124A7079"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esošo lapu vai lietojumprogrammu izmaiņu gadījumos;</w:t>
      </w:r>
    </w:p>
    <w:p w14:paraId="4CC9837C"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ja ir ievēroti 6.b pielikuma 8. punktā noteiktie termiņi, esošo lapu un lietojumprogrammu pielāgošanai.</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bCs/>
          <w:sz w:val="22"/>
          <w:szCs w:val="22"/>
          <w:rFonts w:cs="Arial"/>
        </w:rPr>
      </w:pPr>
      <w:bookmarkStart w:id="1" w:name="_Ref447800574"/>
      <w:r>
        <w:rPr>
          <w:sz w:val="22"/>
        </w:rPr>
        <w:t xml:space="preserve">138. pants.</w:t>
      </w:r>
      <w:r>
        <w:rPr>
          <w:sz w:val="22"/>
        </w:rPr>
        <w:tab/>
      </w:r>
      <w:r>
        <w:rPr>
          <w:sz w:val="22"/>
        </w:rPr>
        <w:t xml:space="preserve">Pamatpakalpojumi, vispārējas nozīmes pakalpojumi vai valsts finansēti pakalpojumi</w:t>
      </w:r>
      <w:r>
        <w:rPr>
          <w:sz w:val="22"/>
        </w:rPr>
        <w:t xml:space="preserve"> </w:t>
      </w:r>
      <w:bookmarkEnd w:id="1"/>
    </w:p>
    <w:p w14:paraId="7D137DE4" w14:textId="752BD128" w:rsidR="003920DF" w:rsidRPr="003920DF" w:rsidRDefault="003920DF" w:rsidP="000F4434">
      <w:pPr>
        <w:pStyle w:val="ListParagraph"/>
        <w:numPr>
          <w:ilvl w:val="1"/>
          <w:numId w:val="23"/>
        </w:numPr>
        <w:ind w:left="0" w:firstLine="0"/>
        <w:jc w:val="both"/>
        <w:outlineLvl w:val="3"/>
        <w:rPr>
          <w:bCs/>
          <w:sz w:val="22"/>
          <w:szCs w:val="22"/>
          <w:rFonts w:cs="Arial"/>
        </w:rPr>
      </w:pPr>
      <w:r>
        <w:rPr>
          <w:sz w:val="22"/>
        </w:rPr>
        <w:t xml:space="preserve">Katalonijas publiskā sektora un publisko tiesību korporāciju tīmekļvietnēm, kā arī visām tām, kas izveidotas ar valsts pārvaldes finansējumu, un tādu struktūru vai uzņēmumu tīmekļvietnēm, kas publiskos pakalpojumus sniedz saskaņā ar koncesiju vai līgumu ar valsts pārvaldi, ir jāatbilst 5.a pielikuma 25. punkta prasībām un saskaņā ar Tīmekļa satura piekļūstamības nostādņu (</w:t>
      </w:r>
      <w:r>
        <w:rPr>
          <w:sz w:val="22"/>
          <w:i/>
          <w:iCs/>
        </w:rPr>
        <w:t xml:space="preserve">WCAG</w:t>
      </w:r>
      <w:r>
        <w:rPr>
          <w:sz w:val="22"/>
        </w:rPr>
        <w:t xml:space="preserve">) 2.1. versiju jāsasniedz vismaz piekļūstamības atbilstības AA līmenis, neskarot noteikumus, ko šajā jautājumā kompetentā iestāde ir pieņēmusi Katalonijā saskaņā ar Karaļa 2018. gada 7. septembra Dekrētu Nr. 1112/2018 par publiskā sektora struktūru tīmekļvietņu un mobilo ierīču lietotņu piekļūstamību.</w:t>
      </w:r>
    </w:p>
    <w:p w14:paraId="6FD18B43"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To privāto struktūru tīmekļvietnēm, kas sniedz pamatpakalpojumus vai vispārējas nozīmes pakalpojumus, tostarp elektroenerģijas, ūdens vai gāzes piegādi un telesakaru pakalpojumus, kā arī veselības aprūpes, pasta un banku pakalpojumus, jāatbilst arī 5.a pielikuma 25. punkta prasībām un saskaņā ar Tīmekļa satura piekļūstamības nostādņu (</w:t>
      </w:r>
      <w:r>
        <w:rPr>
          <w:sz w:val="22"/>
          <w:i/>
          <w:iCs/>
        </w:rPr>
        <w:t xml:space="preserve">WCAG</w:t>
      </w:r>
      <w:r>
        <w:rPr>
          <w:sz w:val="22"/>
        </w:rPr>
        <w:t xml:space="preserve">) 2.1. versiju jāsasniedz vismaz piekļūstamības atbilstības AA līmenis.</w:t>
      </w:r>
      <w:r>
        <w:rPr>
          <w:sz w:val="22"/>
        </w:rPr>
        <w:t xml:space="preserve"> </w:t>
      </w:r>
    </w:p>
    <w:p w14:paraId="54D877DC" w14:textId="68D622D4"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Mobilo ierīču lietojumprogrammām publiskajā sektorā un struktūrām, kas minētas iepriekš 138.1. un 138.2. punktā, jāatbilst 5.a pielikuma 26. punktā noteiktajām piekļūstamības prasībām, neskarot noteikumus, ko šajā jautājumā Katalonijā pieņēmusi kompetentā iestāde.</w:t>
      </w:r>
    </w:p>
    <w:p w14:paraId="0F7B09C4" w14:textId="77777777" w:rsidR="003920DF" w:rsidRPr="000F0A63" w:rsidRDefault="003920DF" w:rsidP="000F4434">
      <w:pPr>
        <w:pStyle w:val="ListParagraph"/>
        <w:numPr>
          <w:ilvl w:val="1"/>
          <w:numId w:val="23"/>
        </w:numPr>
        <w:ind w:left="0" w:firstLine="0"/>
        <w:jc w:val="both"/>
        <w:outlineLvl w:val="3"/>
        <w:rPr>
          <w:sz w:val="22"/>
          <w:szCs w:val="22"/>
          <w:rFonts w:cs="Arial"/>
        </w:rPr>
      </w:pPr>
      <w:r>
        <w:rPr>
          <w:sz w:val="22"/>
        </w:rPr>
        <w:t xml:space="preserve">Šajā pantā izklāstītās tīmekļvietņu un mobilo lietojumprogrammu piekļūstamības prasības piemēro ar noteikumu, ka tās nerada nesamērīgu slogu struktūrai, kurai tās jāpiemēro, ievērojot šādus nosacījumus:</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konkrētās vienības dimensijas, resursi un specifika;</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vienības izmaksas un ieguvumi un aplēstie ieguvumi lietotājiem, ņemot vērā šīs tīmekļvietnes vai lietojumprogrammas lietošanas biežumu un ilgumu;</w:t>
      </w:r>
      <w:r>
        <w:rPr>
          <w:sz w:val="22"/>
        </w:rPr>
        <w:t xml:space="preserve">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diskriminējošā ietekme uz cilvēkiem ar invaliditāti, ja tīmekļvietne vai lietojumprogramma nav piekļūstama gadījumā, kad tirgū ir piekļūstamas tīmekļvietnes vai alternatīvas lietojumprogrammas, kas piedāvā tādu pašu funkcionalitāti un nosacījumus.</w:t>
      </w:r>
    </w:p>
    <w:p w14:paraId="7EAD681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Publiskajam sektoram vai struktūrai, kas izmanto 138.4. punktā paredzēto atbrīvojumu, tīmekļvietnes vai lietojumprogrammas piekļūstamības deklarācijā ir jāpaskaidro, kuras piekļūstamības prasības nebija iespējams izpildīt, un atbilstīgi iespējām jāpiedāvā pieejamas alternatīvas.</w:t>
      </w:r>
    </w:p>
    <w:p w14:paraId="5D7ECF09"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Tīmekļa lapu un mobilo lietojumprogrammu atbilstība iepriekšējos punktos izklāstītajiem piekļūstamības nosacījumiem jānodrošina līdz galīgajiem termiņiem, kas noteikti 6.b pielikuma 2. punktā.</w:t>
      </w:r>
    </w:p>
    <w:p w14:paraId="64D96B3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Pakalpojumu sniedzējiem un ražotājiem, kas piegādā IT aprīkojumu un programmatūru Katalonijas publiskajam sektoram, un 138.1. punktā minētajām struktūrām, ir jāiekļauj papildu piekļūstamības elementi un funkcijas, kas vajadzīgas, lai cilvēkiem ar invaliditāti nodrošinātu piekļuvi digitālajam saturam.</w:t>
      </w:r>
      <w:r>
        <w:rPr>
          <w:sz w:val="22"/>
        </w:rPr>
        <w:t xml:space="preserve"> </w:t>
      </w:r>
    </w:p>
    <w:p w14:paraId="03F2890E"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Valsts un privātiem televīzijas tīkliem Katalonijā ir jāizstrādā plāni par piekļuvi saturam, lai pakāpeniski padarītu to programmas piekļūstamas cilvēkiem ar sensorās un intelektuālās attīstības traucējumiem.</w:t>
      </w:r>
      <w:r>
        <w:rPr>
          <w:sz w:val="22"/>
        </w:rPr>
        <w:t xml:space="preserve"> </w:t>
      </w:r>
      <w:r>
        <w:rPr>
          <w:sz w:val="22"/>
        </w:rPr>
        <w:t xml:space="preserve">Ar šiem plāniem jānodrošina, ka ne vēlāk kā 3 gados pēc šā kodeksa stāšanās spēkā tiek sasniegti šādi mērķi:</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sabiedriskās televīzijas tīklos:</w:t>
      </w:r>
      <w:r>
        <w:rPr>
          <w:sz w:val="22"/>
        </w:rPr>
        <w:t xml:space="preserve"> </w:t>
      </w:r>
      <w:r>
        <w:rPr>
          <w:sz w:val="22"/>
        </w:rPr>
        <w:t xml:space="preserve">100 % programmu jābūt subtitrētām un saturam vismaz 15 stundas nedēļā jābūt ar audio aprakstu un 10 stundas nedēļā — katalāņu zīmju valodā;</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privātos televīzijas tīklos:</w:t>
      </w:r>
      <w:r>
        <w:rPr>
          <w:sz w:val="22"/>
        </w:rPr>
        <w:t xml:space="preserve"> </w:t>
      </w:r>
      <w:r>
        <w:rPr>
          <w:sz w:val="22"/>
        </w:rPr>
        <w:t xml:space="preserve">75 % programmu jābūt subtitrētām un saturam vismaz 10 stundas nedēļā jābūt ar audio aprakstu un 7 stundas nedēļā — katalāņu zīmju valodā;</w:t>
      </w:r>
    </w:p>
    <w:p w14:paraId="221F24A7"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Programmās katalāņu zīmju valodā jāiekļauj ziņu raidījumi un bērnu raidījumi, kas piekļūstami iepriekš ierakstītā skatīšanās piedāvājumā, kad šis pakalpojums ir pieejams.</w:t>
      </w:r>
      <w:r>
        <w:rPr>
          <w:sz w:val="22"/>
        </w:rPr>
        <w:t xml:space="preserve"> </w:t>
      </w:r>
      <w:r>
        <w:rPr>
          <w:sz w:val="22"/>
        </w:rPr>
        <w:t xml:space="preserve">Šīm programmām ir jāaptver visas nedēļas dienas.</w:t>
      </w:r>
      <w:r>
        <w:rPr>
          <w:sz w:val="22"/>
        </w:rPr>
        <w:t xml:space="preserve"> </w:t>
      </w:r>
    </w:p>
    <w:p w14:paraId="1FCDD2A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Uzņēmumiem, kas izplata kinematogrāfijas un audiovizuālos darbus, jāiekļauj subtitrēšanas, audioapraksta un audionavigācijas sistēmas, vēlams ārvalstu un vietējām filmām, kurām ir labāki pārdošanas rādītāji vai kuras ir saņēmušas valsts vai starptautiskus apbalvojumus, lai tās darītu piekļūstamas, izmantojot DVD atbalstu vai līdzīgas sistēmas ar šīm funkcijām.</w:t>
      </w:r>
    </w:p>
    <w:p w14:paraId="0F3986EB" w14:textId="77777777" w:rsidR="003920DF" w:rsidRDefault="003920DF">
      <w:pPr>
        <w:rPr>
          <w:lang w:val="es-ES"/>
        </w:rPr>
      </w:pPr>
    </w:p>
    <w:p w14:paraId="44244122" w14:textId="3BAB5CCF" w:rsidR="00E526B5" w:rsidRDefault="00B670F2">
      <w:r>
        <w:rPr>
          <w:sz w:val="22"/>
        </w:rPr>
        <w:t xml:space="preserve">11. NODAĻA.</w:t>
      </w:r>
      <w:r>
        <w:rPr>
          <w:sz w:val="22"/>
        </w:rPr>
        <w:t xml:space="preserve"> </w:t>
      </w:r>
      <w:r>
        <w:rPr>
          <w:sz w:val="22"/>
        </w:rPr>
        <w:t xml:space="preserve">Piekļūstamības kvalitātes žetons</w:t>
      </w:r>
    </w:p>
    <w:p w14:paraId="5E23591F" w14:textId="30E33DFC" w:rsidR="00E526B5" w:rsidRPr="000F0A63" w:rsidRDefault="00E526B5" w:rsidP="000F4434">
      <w:pPr>
        <w:pStyle w:val="Heading4"/>
        <w:keepNext w:val="0"/>
        <w:numPr>
          <w:ilvl w:val="1"/>
          <w:numId w:val="24"/>
        </w:numPr>
        <w:spacing w:before="0" w:after="0"/>
        <w:ind w:left="0" w:firstLine="0"/>
        <w:jc w:val="both"/>
        <w:rPr>
          <w:sz w:val="22"/>
          <w:szCs w:val="22"/>
          <w:rFonts w:cs="Arial"/>
        </w:rPr>
      </w:pPr>
      <w:r>
        <w:rPr>
          <w:sz w:val="22"/>
        </w:rPr>
        <w:t xml:space="preserve">Sabiedriskai apspriešanai ar iestādēm, ēkām un publiskām struktūrām, kurām ir kvalitātes žetons, jābūt iespējamai vismaz internetā, neskarot citus līdzekļus, ko var uzskatīt par piemērotiem.</w:t>
      </w:r>
    </w:p>
    <w:p w14:paraId="6CBE5DDA" w14:textId="77777777" w:rsidR="00E526B5" w:rsidRDefault="00E526B5">
      <w:pPr>
        <w:rPr>
          <w:lang w:val="es-ES"/>
        </w:rPr>
      </w:pPr>
    </w:p>
    <w:p w14:paraId="3BFAD248" w14:textId="66A7955A" w:rsidR="00E526B5" w:rsidRDefault="00CF1E0D">
      <w:r>
        <w:rPr>
          <w:sz w:val="22"/>
        </w:rPr>
        <w:t xml:space="preserve">5.a pielikums.</w:t>
      </w:r>
      <w:r>
        <w:rPr>
          <w:sz w:val="22"/>
        </w:rPr>
        <w:t xml:space="preserve"> </w:t>
      </w:r>
      <w:r>
        <w:rPr>
          <w:sz w:val="22"/>
        </w:rPr>
        <w:t xml:space="preserve">Produktu piekļūstamības standarti</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bCs/>
          <w:iCs/>
          <w:sz w:val="22"/>
          <w:szCs w:val="22"/>
          <w:rFonts w:cs="Arial"/>
        </w:rPr>
      </w:pPr>
      <w:bookmarkStart w:id="2" w:name="_Ref447796406"/>
      <w:r>
        <w:rPr>
          <w:sz w:val="22"/>
        </w:rPr>
        <w:t xml:space="preserve">Piekļūstamās tīmekļa lapas</w:t>
      </w:r>
      <w:bookmarkEnd w:id="2"/>
      <w:r>
        <w:rPr>
          <w:sz w:val="22"/>
        </w:rPr>
        <w:t xml:space="preserve"> </w:t>
      </w:r>
    </w:p>
    <w:p w14:paraId="2592043C" w14:textId="77777777" w:rsidR="00E526B5" w:rsidRPr="000F0A63" w:rsidRDefault="00E526B5" w:rsidP="00E526B5">
      <w:pPr>
        <w:tabs>
          <w:tab w:val="num" w:pos="0"/>
          <w:tab w:val="left" w:pos="284"/>
        </w:tabs>
        <w:jc w:val="both"/>
        <w:rPr>
          <w:sz w:val="22"/>
          <w:szCs w:val="22"/>
          <w:rFonts w:cs="Arial"/>
        </w:rPr>
      </w:pPr>
      <w:r>
        <w:rPr>
          <w:sz w:val="22"/>
        </w:rPr>
        <w:t xml:space="preserve">Vadlīnijas, kas jāievēro, izstrādājot un veidojot tīmekļvietni, un nosacījumi, lai tā būtu piekļūstama, ir šādas:</w:t>
      </w:r>
      <w:r>
        <w:rPr>
          <w:sz w:val="22"/>
        </w:rPr>
        <w:t xml:space="preserv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konfigurēt saturu tā, lai to varētu pielāgot dažādām programmatūrām, ierīcēm un atbalsta produktiem, nezaudējot informāciju vai struktūru;</w:t>
      </w:r>
      <w:r>
        <w:rPr>
          <w:sz w:val="22"/>
        </w:rPr>
        <w:t xml:space="preserve">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nodrošināt teksta alternatīvas vai aprakstošu identifikāciju netekstuālam saturam (attēliem, diagrammām, multivides saturam);</w:t>
      </w:r>
      <w:r>
        <w:rPr>
          <w:sz w:val="22"/>
        </w:rPr>
        <w:t xml:space="preserve">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iekļaut multivides satura subtitrus un audio aprakstus, ja tas ir nepieciešams vēstījuma pienācīgai izpratnei;</w:t>
      </w:r>
      <w:r>
        <w:rPr>
          <w:sz w:val="22"/>
        </w:rPr>
        <w:t xml:space="preserve">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nodrošināt mehānismus, kas ļauj izslēgt un regulēt audio skaļumu;</w:t>
      </w:r>
      <w:r>
        <w:rPr>
          <w:sz w:val="22"/>
        </w:rPr>
        <w:t xml:space="preserve">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neizmantot krāsu kā vienīgo līdzekli, lai nodotu informāciju, norādītu darbību vai atšķirtu kādu elementu;</w:t>
      </w:r>
      <w:r>
        <w:rPr>
          <w:sz w:val="22"/>
        </w:rPr>
        <w:t xml:space="preserve">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tekstam un attēliem jābūt ar pietiekamu kontrastu attiecībā pret fonu un tādā izmērā, kas ļauj tos ērti lasīt;</w:t>
      </w:r>
      <w:r>
        <w:rPr>
          <w:sz w:val="22"/>
        </w:rPr>
        <w:t xml:space="preserv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teksta lielumam jābūt pielāgojamam no pašas lapas, neizmantojot atbalsta produktus un nezaudējot saturu vai funkcionalitāti;</w:t>
      </w:r>
      <w:r>
        <w:rPr>
          <w:sz w:val="22"/>
        </w:rPr>
        <w:t xml:space="preserve">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nodrošināt piekļuvi visām lapas funkcijām ar tastatūru, izmantojot risinājumu, kas nav pretrunā ekrāna lasītājiem un palielinātājiem;</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ļaut lietotājam kontrolēt informāciju vai objektus, kas tiek automātiski pārvietoti vai atjaunināti, lai tos apturētu, paslēptu vai kontrolētu to rādīšanas biežumu;</w:t>
      </w:r>
      <w:r>
        <w:rPr>
          <w:sz w:val="22"/>
        </w:rPr>
        <w:t xml:space="preserve">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bookmarkStart w:id="3" w:name="_Ref488129626"/>
      <w:r>
        <w:rPr>
          <w:sz w:val="22"/>
        </w:rPr>
        <w:t xml:space="preserve">atvieglot navigāciju, strukturējot saturu saskaņotā secībā un nodrošinot skaidrus navigācijas mehānismus;</w:t>
      </w:r>
      <w:r>
        <w:rPr>
          <w:sz w:val="22"/>
        </w:rPr>
        <w:t xml:space="preserve">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iekļaut norādījumu informāciju, lai palīdzētu lietotājiem izprast sarežģītus elementus, un nodrošināt mehānismus, lai atklātu un novērstu kļūdas, kas rodas, lietotājam ierakstot datus;</w:t>
      </w:r>
      <w:r>
        <w:rPr>
          <w:sz w:val="22"/>
        </w:rPr>
        <w:t xml:space="preserve">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norādīt valodu, ko izmanto katrā tīmekļvietnes punktā vai dokumentā, lai ekrāna lasītāji un balss sintezatori varētu automātiski noteikt un mainīt valodu;</w:t>
      </w:r>
      <w:r>
        <w:rPr>
          <w:sz w:val="22"/>
        </w:rPr>
        <w:t xml:space="preserve">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izmantot skaidru un saprotamu valodu, lai saturu padarītu viegli saprotamu, un iekļaut visneparastāko vārdu definīciju, iniciālo abreviatūru un saīsinājumu nozīmi;</w:t>
      </w:r>
      <w:r>
        <w:rPr>
          <w:sz w:val="22"/>
        </w:rPr>
        <w:t xml:space="preserve">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palielināt saderību ar lietojumprogrammām, programmatūru un ierīcēm, kas var būt lietotāju rīcībā, tostarp ar atbalsta produktiem;</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nodrošināt, ka internetā publicētie dokumenti ir piekļūstami un lasāmi arī ekrāna lasītājiem;</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nodrošināt piekļūstamus saziņas kanālus, kas nav tālrunis, izmantojot e-pastu, SMS vai veidlapas, ar apstrādes ilgumu, kas nav diskriminējošs salīdzinājumā ar tālruņa zvana ilgumu;</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nodrošināt atbilstību kritērijiem saskaņā ar Tīmekļa satura piekļūstamības nostādņu (</w:t>
      </w:r>
      <w:r>
        <w:rPr>
          <w:sz w:val="22"/>
          <w:i/>
          <w:iCs/>
        </w:rPr>
        <w:t xml:space="preserve">WCAG</w:t>
      </w:r>
      <w:r>
        <w:rPr>
          <w:sz w:val="22"/>
        </w:rPr>
        <w:t xml:space="preserve">) 2.1. versiju vienā no tās līmeņiem, nosacījumiem, kas noteikti standartā UNE 139803:2012 vai tā aizstājējā, izņemot gadījumus, kad saskaņā ar šo kodeksu ir vajadzīgs augstāks līmenis.</w:t>
      </w:r>
      <w:r>
        <w:rPr>
          <w:sz w:val="22"/>
        </w:rPr>
        <w:t xml:space="preserve">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sz w:val="22"/>
          <w:szCs w:val="22"/>
          <w:rFonts w:cs="Arial"/>
        </w:rPr>
      </w:pPr>
      <w:bookmarkStart w:id="4" w:name="_Ref504990560"/>
      <w:r>
        <w:rPr>
          <w:sz w:val="22"/>
        </w:rPr>
        <w:t xml:space="preserve">Piekļūstamās lietojumprogrammas</w:t>
      </w:r>
      <w:bookmarkEnd w:id="3"/>
      <w:bookmarkEnd w:id="4"/>
    </w:p>
    <w:p w14:paraId="7EB099BF" w14:textId="77777777" w:rsidR="00E526B5" w:rsidRPr="000F0A63" w:rsidRDefault="00E526B5" w:rsidP="00E526B5">
      <w:pPr>
        <w:tabs>
          <w:tab w:val="left" w:pos="284"/>
          <w:tab w:val="left" w:pos="426"/>
        </w:tabs>
        <w:jc w:val="both"/>
        <w:rPr>
          <w:sz w:val="22"/>
          <w:szCs w:val="22"/>
          <w:rFonts w:cs="Arial"/>
        </w:rPr>
      </w:pPr>
      <w:r>
        <w:rPr>
          <w:sz w:val="22"/>
        </w:rPr>
        <w:t xml:space="preserve">Mobilajām lietojumprogrammām jāatbilst nosacījumiem, kas izklāstīti standartā UNE 139803:2012 vai tā aizstājējā, un jāatbilst šādiem vispārīgiem kritērijiem:</w:t>
      </w:r>
      <w:r>
        <w:rPr>
          <w:sz w:val="22"/>
        </w:rPr>
        <w:t xml:space="preserve"> </w:t>
      </w:r>
    </w:p>
    <w:p w14:paraId="580725D4"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visiem ziņojumiem, palīdzības sistēmām un tekstiem jābūt rakstītiem skaidrā un vienkāršā valodā;</w:t>
      </w:r>
    </w:p>
    <w:p w14:paraId="2543102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tekstam jābūt saprotamam, tā izmēram un fontam jāatvieglo lasīšana;</w:t>
      </w:r>
    </w:p>
    <w:p w14:paraId="18CF95B7"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elementu krāsu kontrastam ar fonu jābūt pietiekamam;</w:t>
      </w:r>
      <w:r>
        <w:rPr>
          <w:sz w:val="22"/>
        </w:rPr>
        <w:t xml:space="preserve"> </w:t>
      </w:r>
    </w:p>
    <w:p w14:paraId="6EAF5662"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vadībai, objektiem, ikonām un attēliem jābūt identificējamiem, viegli lietojamiem un tiem jābūt pievienotiem saistītiem alternatīviem tekstiem, kas norāda to funkciju vai nozīmi;</w:t>
      </w:r>
      <w:r>
        <w:rPr>
          <w:sz w:val="22"/>
        </w:rPr>
        <w:t xml:space="preserve"> </w:t>
      </w:r>
    </w:p>
    <w:p w14:paraId="5791E3B0"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brīdinājuma skaņām jābūt vizuālām vai vibrējošām alternatīvām;</w:t>
      </w:r>
      <w:r>
        <w:rPr>
          <w:sz w:val="22"/>
        </w:rPr>
        <w:t xml:space="preserve"> </w:t>
      </w:r>
    </w:p>
    <w:p w14:paraId="12D8BAF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pakalpojuma piekļūstamības procesam jābūt vienmērīgam un ātram;</w:t>
      </w:r>
    </w:p>
    <w:p w14:paraId="1F898261"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lietojumprogrammai jābūt saderīgai ar atbalsta produktiem, piemēram, ar ekrāna lasītājiem, palielinātājiem un balss komandām;</w:t>
      </w:r>
    </w:p>
    <w:p w14:paraId="795B853F"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lietojumprogrammai jābūt saderīgai ar operētājsistēmas piekļūstamības rīkiem.</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bCs/>
          <w:sz w:val="22"/>
          <w:szCs w:val="22"/>
          <w:rFonts w:cs="Arial"/>
        </w:rPr>
      </w:pPr>
      <w:r>
        <w:rPr>
          <w:sz w:val="22"/>
        </w:rPr>
        <w:t xml:space="preserve">6.b pielikums.</w:t>
      </w:r>
      <w:r>
        <w:rPr>
          <w:sz w:val="22"/>
        </w:rPr>
        <w:t xml:space="preserve"> </w:t>
      </w:r>
      <w:r>
        <w:rPr>
          <w:sz w:val="22"/>
        </w:rPr>
        <w:t xml:space="preserve">Termiņi esošo pakalpojumu pielāgošanai paredzētajiem nosacījumiem</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5" w:name="_Ref505083170"/>
      <w:r>
        <w:rPr>
          <w:sz w:val="22"/>
        </w:rPr>
        <w:t xml:space="preserve">Saderība ar citiem nepieciešamajiem nosacījumiem</w:t>
      </w:r>
      <w:bookmarkEnd w:id="5"/>
      <w:r>
        <w:rPr>
          <w:sz w:val="22"/>
        </w:rPr>
        <w:t xml:space="preserve"> </w:t>
      </w:r>
    </w:p>
    <w:p w14:paraId="1C074B90" w14:textId="77777777" w:rsidR="00E526B5" w:rsidRPr="000F0A63" w:rsidRDefault="00E526B5" w:rsidP="00E526B5">
      <w:pPr>
        <w:keepNext/>
        <w:keepLines/>
        <w:tabs>
          <w:tab w:val="left" w:pos="284"/>
        </w:tabs>
        <w:jc w:val="both"/>
        <w:rPr>
          <w:sz w:val="22"/>
          <w:szCs w:val="22"/>
          <w:rFonts w:cs="Arial"/>
        </w:rPr>
      </w:pPr>
      <w:r>
        <w:rPr>
          <w:sz w:val="22"/>
        </w:rPr>
        <w:t xml:space="preserve">Šā 6.b pielikuma nosacījumi neskar pienākumu pirms norādītajiem termiņiem ievērot prasītos piekļūstamības nosacījumus, ja tiek mainīti esošie elementi vai resursi.</w:t>
      </w:r>
      <w:r>
        <w:rPr>
          <w:sz w:val="22"/>
        </w:rPr>
        <w:t xml:space="preserve">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6" w:name="_Ref505083210"/>
      <w:r>
        <w:rPr>
          <w:sz w:val="22"/>
        </w:rPr>
        <w:t xml:space="preserve">Katalonijas publiskā sektora, publisko tiesību korporācijas un sabiedrisko pakalpojumu sniedzēju struktūras</w:t>
      </w:r>
      <w:bookmarkEnd w:id="6"/>
    </w:p>
    <w:p w14:paraId="76077B47" w14:textId="77777777" w:rsidR="00E526B5" w:rsidRPr="000F0A63" w:rsidRDefault="00E526B5" w:rsidP="00E526B5">
      <w:pPr>
        <w:tabs>
          <w:tab w:val="left" w:pos="284"/>
        </w:tabs>
        <w:jc w:val="both"/>
        <w:rPr>
          <w:bCs/>
          <w:iCs/>
          <w:sz w:val="22"/>
          <w:szCs w:val="22"/>
          <w:rFonts w:cs="Arial"/>
        </w:rPr>
      </w:pPr>
      <w:r>
        <w:rPr>
          <w:sz w:val="22"/>
        </w:rPr>
        <w:t xml:space="preserve">Lai Katalonijas publiskā sektora, publisko tiesību korporāciju un struktūru vai uzņēmumu, kas saskaņā ar koncesiju vai līgumu ar valsts pārvaldi sniedz publiskos pakalpojumus, tīmekļvietnes un mobilās lietojumprogrammas būtu piekļūstamas un atbilstu 138. pantā minētajiem nosacījumiem, ir noteikti šādi galīgie termiņi:</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1 gads pēc šā kodeksa stāšanās spēkā:</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sz w:val="22"/>
          <w:szCs w:val="22"/>
          <w:rFonts w:cs="Arial"/>
        </w:rPr>
      </w:pPr>
      <w:r>
        <w:rPr>
          <w:sz w:val="22"/>
        </w:rPr>
        <w:t xml:space="preserve">Katalonijas publiskā sektora un publisko tiesību sabiedrību tīmekļvietnes;</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2 gadi pēc šā kodeksa stāšanās spēkā:</w:t>
      </w:r>
    </w:p>
    <w:p w14:paraId="04EB1B39" w14:textId="77777777" w:rsidR="00E526B5" w:rsidRPr="000F0A63" w:rsidRDefault="00E526B5" w:rsidP="000F4434">
      <w:pPr>
        <w:numPr>
          <w:ilvl w:val="0"/>
          <w:numId w:val="33"/>
        </w:numPr>
        <w:tabs>
          <w:tab w:val="left" w:pos="426"/>
        </w:tabs>
        <w:ind w:left="0" w:firstLine="0"/>
        <w:jc w:val="both"/>
        <w:rPr>
          <w:sz w:val="22"/>
          <w:szCs w:val="22"/>
          <w:rFonts w:cs="Arial"/>
        </w:rPr>
      </w:pPr>
      <w:r>
        <w:rPr>
          <w:sz w:val="22"/>
        </w:rPr>
        <w:t xml:space="preserve">lietojumprogrammas mobilajām ierīcēm Katalonijas publiskajā sektorā un publisko tiesību korporācijās;</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bCs/>
          <w:sz w:val="22"/>
          <w:szCs w:val="22"/>
          <w:rFonts w:cs="Arial"/>
        </w:rPr>
      </w:pPr>
      <w:r>
        <w:rPr>
          <w:sz w:val="22"/>
        </w:rPr>
        <w:t xml:space="preserve">3 gadi pēc šā kodeksa stāšanās spēkā:</w:t>
      </w:r>
      <w:r>
        <w:rPr>
          <w:sz w:val="22"/>
        </w:rPr>
        <w:t xml:space="preserve"> </w:t>
      </w:r>
    </w:p>
    <w:p w14:paraId="2BC909CB" w14:textId="77777777" w:rsidR="00E526B5" w:rsidRPr="000F0A63" w:rsidRDefault="00E526B5" w:rsidP="000F4434">
      <w:pPr>
        <w:numPr>
          <w:ilvl w:val="0"/>
          <w:numId w:val="50"/>
        </w:numPr>
        <w:tabs>
          <w:tab w:val="left" w:pos="426"/>
        </w:tabs>
        <w:ind w:left="0" w:firstLine="0"/>
        <w:jc w:val="both"/>
        <w:rPr>
          <w:sz w:val="22"/>
          <w:szCs w:val="22"/>
          <w:rFonts w:cs="Arial"/>
        </w:rPr>
      </w:pPr>
      <w:r>
        <w:rPr>
          <w:sz w:val="22"/>
        </w:rPr>
        <w:t xml:space="preserve">tīmekļvietnes un lietojumprogrammas mobilajām ierīcēm struktūrās vai uzņēmumos, kas saskaņā ar koncesiju vai līgumu ar valsts pārvaldi sniedz publiskos pakalpojumus.</w:t>
      </w:r>
    </w:p>
    <w:p w14:paraId="5A897CB9" w14:textId="77777777" w:rsidR="00E526B5" w:rsidRPr="000F0A63" w:rsidRDefault="00E526B5" w:rsidP="00E526B5">
      <w:pPr>
        <w:tabs>
          <w:tab w:val="left" w:pos="284"/>
          <w:tab w:val="num" w:pos="426"/>
        </w:tabs>
        <w:jc w:val="both"/>
        <w:rPr>
          <w:sz w:val="22"/>
          <w:szCs w:val="22"/>
          <w:rFonts w:cs="Arial"/>
        </w:rPr>
      </w:pPr>
      <w:r>
        <w:rPr>
          <w:sz w:val="22"/>
        </w:rPr>
        <w:t xml:space="preserve">Norādītie termiņi ir noteikti, neskarot to objektu atbilstību, attiecībā uz kuriem ir jāievēro visstingrākās prasības pakalpojuma parametru ziņā saskaņā ar pārējiem šā pielikuma punktiem vai citiem noteikumiem, kas to regulē.</w:t>
      </w:r>
      <w:r>
        <w:rPr>
          <w:sz w:val="22"/>
        </w:rPr>
        <w:t xml:space="preserve">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7" w:name="_Ref505083224"/>
      <w:r>
        <w:rPr>
          <w:sz w:val="22"/>
        </w:rPr>
        <w:t xml:space="preserve">Pakalpojumi, kas saistīti ar izpildītājmākslu, kino un sporta pasākumiem</w:t>
      </w:r>
      <w:bookmarkEnd w:id="7"/>
    </w:p>
    <w:p w14:paraId="6E9E2B04" w14:textId="77777777" w:rsidR="00E526B5" w:rsidRPr="000F0A63" w:rsidRDefault="00E526B5" w:rsidP="00E526B5">
      <w:pPr>
        <w:tabs>
          <w:tab w:val="left" w:pos="284"/>
        </w:tabs>
        <w:jc w:val="both"/>
        <w:rPr>
          <w:bCs/>
          <w:sz w:val="22"/>
          <w:szCs w:val="22"/>
          <w:rFonts w:cs="Arial"/>
        </w:rPr>
      </w:pPr>
      <w:r>
        <w:rPr>
          <w:sz w:val="22"/>
        </w:rPr>
        <w:t xml:space="preserve">Lai uzņēmuma tīmekļvietnes un elektronisko biļešu pārdošanas kanāli būtu piekļūstami un atbilstu 133. pantā izklāstītajiem nosacījumiem, ir noteikti šādi galīgie termiņi:</w:t>
      </w:r>
    </w:p>
    <w:p w14:paraId="44E529E5"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2 gadi pēc šā kodeksa stāšanās spēkā:</w:t>
      </w:r>
    </w:p>
    <w:p w14:paraId="26851055"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tīmekļvietnes un mobilās lietojumprogrammas iestādēm, kuru kapacitāte visā teritorijā ir 2000 sēdvietu vai lielāka;</w:t>
      </w:r>
    </w:p>
    <w:p w14:paraId="59D0540F"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tīmekļvietnes un mobilās lietojumprogrammas tiešsaistes biļešu platformām, kas pārvalda vairāk nekā vienu uzņēmumu, kuru kopējā kapacitāte ir 2000 sēdvietu vai lielāka;</w:t>
      </w:r>
    </w:p>
    <w:p w14:paraId="2835B2B8"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3 gadi pēc šā kodeksa stāšanās spēkā:</w:t>
      </w:r>
    </w:p>
    <w:p w14:paraId="2F160C92" w14:textId="77777777" w:rsidR="00E526B5" w:rsidRPr="000F0A63" w:rsidRDefault="00E526B5" w:rsidP="000F4434">
      <w:pPr>
        <w:numPr>
          <w:ilvl w:val="0"/>
          <w:numId w:val="36"/>
        </w:numPr>
        <w:tabs>
          <w:tab w:val="left" w:pos="567"/>
        </w:tabs>
        <w:ind w:left="0" w:firstLine="0"/>
        <w:jc w:val="both"/>
        <w:rPr>
          <w:sz w:val="22"/>
          <w:szCs w:val="22"/>
          <w:rFonts w:cs="Arial"/>
        </w:rPr>
      </w:pPr>
      <w:r>
        <w:rPr>
          <w:sz w:val="22"/>
        </w:rPr>
        <w:t xml:space="preserve">tīmekļvietnes un mobilās lietojumprogrammas tiešsaistes biļešu platformām, kas pārvalda vairāk nekā vienu uzņēmumu, kuru kopējā kapacitāte ir līdz 2000 sēdvietu;</w:t>
      </w:r>
      <w:r>
        <w:rPr>
          <w:sz w:val="22"/>
        </w:rPr>
        <w:t xml:space="preserve"> </w:t>
      </w:r>
    </w:p>
    <w:p w14:paraId="7BECFAB4" w14:textId="77777777" w:rsidR="00E526B5" w:rsidRPr="000F0A63" w:rsidRDefault="00E526B5" w:rsidP="000F4434">
      <w:pPr>
        <w:keepNext/>
        <w:numPr>
          <w:ilvl w:val="0"/>
          <w:numId w:val="34"/>
        </w:numPr>
        <w:tabs>
          <w:tab w:val="left" w:pos="284"/>
        </w:tabs>
        <w:ind w:left="0" w:firstLine="0"/>
        <w:jc w:val="both"/>
        <w:rPr>
          <w:sz w:val="22"/>
          <w:szCs w:val="22"/>
          <w:rFonts w:cs="Arial"/>
        </w:rPr>
      </w:pPr>
      <w:r>
        <w:rPr>
          <w:sz w:val="22"/>
        </w:rPr>
        <w:t xml:space="preserve">4 gadi pēc šā kodeksa stāšanās spēkā:</w:t>
      </w:r>
    </w:p>
    <w:p w14:paraId="4D5AB809" w14:textId="77777777" w:rsidR="00E526B5" w:rsidRPr="000F0A63" w:rsidRDefault="00E526B5" w:rsidP="000F4434">
      <w:pPr>
        <w:numPr>
          <w:ilvl w:val="0"/>
          <w:numId w:val="35"/>
        </w:numPr>
        <w:tabs>
          <w:tab w:val="left" w:pos="567"/>
        </w:tabs>
        <w:ind w:left="0" w:firstLine="0"/>
        <w:jc w:val="both"/>
        <w:rPr>
          <w:sz w:val="22"/>
          <w:szCs w:val="22"/>
          <w:rFonts w:cs="Arial"/>
        </w:rPr>
      </w:pPr>
      <w:r>
        <w:rPr>
          <w:sz w:val="22"/>
        </w:rPr>
        <w:t xml:space="preserve">tīmekļvietnes un mobilās lietojumprogrammas iestādēm, kuru kapacitāte visā teritorijā ir līdz 2000 sēdvietu.</w:t>
      </w:r>
      <w:r>
        <w:rPr>
          <w:sz w:val="22"/>
        </w:rPr>
        <w:t xml:space="preserve">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8" w:name="_Ref505083249"/>
      <w:r>
        <w:rPr>
          <w:sz w:val="22"/>
        </w:rPr>
        <w:t xml:space="preserve">Komerciālie pakalpojumi</w:t>
      </w:r>
      <w:bookmarkEnd w:id="8"/>
    </w:p>
    <w:p w14:paraId="3609046E" w14:textId="77777777" w:rsidR="00E526B5" w:rsidRPr="000F0A63" w:rsidRDefault="00E526B5" w:rsidP="00E526B5">
      <w:pPr>
        <w:keepLines/>
        <w:tabs>
          <w:tab w:val="left" w:pos="284"/>
        </w:tabs>
        <w:jc w:val="both"/>
        <w:rPr>
          <w:bCs/>
          <w:sz w:val="22"/>
          <w:szCs w:val="22"/>
          <w:rFonts w:cs="Arial"/>
        </w:rPr>
      </w:pPr>
      <w:r>
        <w:rPr>
          <w:sz w:val="22"/>
        </w:rPr>
        <w:t xml:space="preserve">Lai tīmekļvietnes un mobilās lietojumprogrammas, kas piedāvā iespēju iepirkties tiešsaistē, un lielveikalu ķēdes, kā arī uzņēmumi, kuros ir pārtikas vai jauktas nodaļas, būtu piekļūstamas un atbilstu 126. pantā izklāstītajiem nosacījumiem, ir noteikti šādi galīgie termiņi:</w:t>
      </w:r>
    </w:p>
    <w:p w14:paraId="12FBBAE4"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2 gadi pēc šā kodeksa stāšanās spēkā:</w:t>
      </w:r>
    </w:p>
    <w:p w14:paraId="5E3D88E1" w14:textId="77777777" w:rsidR="00E526B5" w:rsidRPr="000F0A63" w:rsidRDefault="00E526B5" w:rsidP="000F4434">
      <w:pPr>
        <w:numPr>
          <w:ilvl w:val="1"/>
          <w:numId w:val="34"/>
        </w:numPr>
        <w:tabs>
          <w:tab w:val="clear" w:pos="1440"/>
          <w:tab w:val="num" w:pos="567"/>
        </w:tabs>
        <w:ind w:left="0" w:firstLine="0"/>
        <w:jc w:val="both"/>
        <w:rPr>
          <w:bCs/>
          <w:iCs/>
          <w:sz w:val="22"/>
          <w:szCs w:val="22"/>
          <w:rFonts w:cs="Arial"/>
        </w:rPr>
      </w:pPr>
      <w:r>
        <w:rPr>
          <w:sz w:val="22"/>
        </w:rPr>
        <w:t xml:space="preserve">tīmekļvietnes un mobilās lietojumprogrammas lielveikalu ķēdēm, kurās ir 10 vai vairāk uzņēmumu un telpu, kuru lietderīgā platība publiskai lietošanai ir lielāka par 500 m²;</w:t>
      </w:r>
    </w:p>
    <w:p w14:paraId="79B90796"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3 gadi pēc šā kodeksa stāšanās spēkā:</w:t>
      </w:r>
    </w:p>
    <w:p w14:paraId="4A64FC41" w14:textId="77777777" w:rsidR="00E526B5" w:rsidRPr="000F0A63" w:rsidRDefault="00E526B5" w:rsidP="000F4434">
      <w:pPr>
        <w:numPr>
          <w:ilvl w:val="0"/>
          <w:numId w:val="37"/>
        </w:numPr>
        <w:tabs>
          <w:tab w:val="left" w:pos="567"/>
        </w:tabs>
        <w:ind w:left="0" w:firstLine="0"/>
        <w:jc w:val="both"/>
        <w:rPr>
          <w:bCs/>
          <w:iCs/>
          <w:sz w:val="22"/>
          <w:szCs w:val="22"/>
          <w:rFonts w:cs="Arial"/>
        </w:rPr>
      </w:pPr>
      <w:r>
        <w:rPr>
          <w:sz w:val="22"/>
        </w:rPr>
        <w:t xml:space="preserve">tīmekļvietnes un mobilās lietojumprogrammas lielveikalu ķēdēm, kurās ir no 5 līdz 9 uzņēmumiem un telpas, kuru lietderīgā platība publiskai lietošanai ir lielāka par 500 m²;</w:t>
      </w:r>
    </w:p>
    <w:p w14:paraId="1F2E1FB5" w14:textId="77777777" w:rsidR="00E526B5" w:rsidRPr="000F0A63" w:rsidRDefault="00E526B5" w:rsidP="000F4434">
      <w:pPr>
        <w:numPr>
          <w:ilvl w:val="0"/>
          <w:numId w:val="32"/>
        </w:numPr>
        <w:tabs>
          <w:tab w:val="left" w:pos="284"/>
        </w:tabs>
        <w:ind w:left="0" w:firstLine="0"/>
        <w:jc w:val="both"/>
        <w:rPr>
          <w:sz w:val="22"/>
          <w:szCs w:val="22"/>
          <w:rFonts w:cs="Arial"/>
        </w:rPr>
      </w:pPr>
      <w:r>
        <w:rPr>
          <w:sz w:val="22"/>
        </w:rPr>
        <w:t xml:space="preserve">4 gadi pēc šā kodeksa stāšanās spēkā:</w:t>
      </w:r>
    </w:p>
    <w:p w14:paraId="47833147" w14:textId="77777777" w:rsidR="00E526B5" w:rsidRPr="000F0A63" w:rsidRDefault="00E526B5" w:rsidP="000F4434">
      <w:pPr>
        <w:numPr>
          <w:ilvl w:val="0"/>
          <w:numId w:val="38"/>
        </w:numPr>
        <w:tabs>
          <w:tab w:val="left" w:pos="567"/>
        </w:tabs>
        <w:ind w:left="0" w:firstLine="0"/>
        <w:jc w:val="both"/>
        <w:rPr>
          <w:bCs/>
          <w:iCs/>
          <w:sz w:val="22"/>
          <w:szCs w:val="22"/>
          <w:rFonts w:cs="Arial"/>
        </w:rPr>
      </w:pPr>
      <w:r>
        <w:rPr>
          <w:sz w:val="22"/>
        </w:rPr>
        <w:t xml:space="preserve">tīmekļvietnes un mobilās lietojumprogrammas lielveikalu ķēdēm, pārtikas vai jauktiem uzņēmumiem, kuru lietderīgā platība publiskai lietošanai ir lielāka par 500 m².</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9" w:name="_Ref505083279"/>
      <w:r>
        <w:rPr>
          <w:sz w:val="22"/>
        </w:rPr>
        <w:t xml:space="preserve">Finanšu un apdrošināšanas pakalpojumi</w:t>
      </w:r>
      <w:bookmarkEnd w:id="9"/>
    </w:p>
    <w:p w14:paraId="6258DBF3" w14:textId="77777777" w:rsidR="00E526B5" w:rsidRPr="000F0A63" w:rsidRDefault="00E526B5" w:rsidP="00E526B5">
      <w:pPr>
        <w:keepLines/>
        <w:tabs>
          <w:tab w:val="left" w:pos="284"/>
        </w:tabs>
        <w:jc w:val="both"/>
        <w:rPr>
          <w:sz w:val="22"/>
          <w:szCs w:val="22"/>
          <w:rFonts w:cs="Arial"/>
        </w:rPr>
      </w:pPr>
      <w:r>
        <w:rPr>
          <w:sz w:val="22"/>
        </w:rPr>
        <w:t xml:space="preserve">Lai mobilo ierīču tīmekļvietnes un lietojumprogrammas, kas nodrošina iespēju veikt banku darījumus, slēgt līgumus, saņemt medicīnas darbinieku konsultācijas vai veikt jebkāda cita veida pārvaldību vai saņemt konsultācijas par produktiem, par kuriem noslēgts līgums ar struktūru, varētu būt piekļūstamas un atbilstu 127. pantā norādītajiem nosacījumiem, ir noteikti šādi galīgie termiņi:</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1 gads pēc šā kodeksa stāšanās spēkā:</w:t>
      </w:r>
    </w:p>
    <w:p w14:paraId="05594252" w14:textId="77777777" w:rsidR="00E526B5" w:rsidRPr="000F0A63" w:rsidRDefault="00E526B5" w:rsidP="000F4434">
      <w:pPr>
        <w:numPr>
          <w:ilvl w:val="0"/>
          <w:numId w:val="40"/>
        </w:numPr>
        <w:tabs>
          <w:tab w:val="clear" w:pos="1440"/>
          <w:tab w:val="num" w:pos="567"/>
        </w:tabs>
        <w:ind w:left="0" w:firstLine="0"/>
        <w:jc w:val="both"/>
        <w:rPr>
          <w:sz w:val="22"/>
          <w:szCs w:val="22"/>
          <w:rFonts w:cs="Arial"/>
        </w:rPr>
      </w:pPr>
      <w:r>
        <w:rPr>
          <w:sz w:val="22"/>
        </w:rPr>
        <w:t xml:space="preserve">tīmekļvietnes;</w:t>
      </w:r>
      <w:r>
        <w:rPr>
          <w:sz w:val="22"/>
        </w:rPr>
        <w:t xml:space="preserve">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2 gadi pēc šā kodeksa stāšanās spēkā:</w:t>
      </w:r>
    </w:p>
    <w:p w14:paraId="7D3D57C1" w14:textId="77777777" w:rsidR="00E526B5" w:rsidRPr="000F0A63" w:rsidRDefault="00E526B5" w:rsidP="000F4434">
      <w:pPr>
        <w:numPr>
          <w:ilvl w:val="0"/>
          <w:numId w:val="41"/>
        </w:numPr>
        <w:tabs>
          <w:tab w:val="left" w:pos="567"/>
        </w:tabs>
        <w:ind w:left="0" w:firstLine="0"/>
        <w:jc w:val="both"/>
        <w:rPr>
          <w:sz w:val="22"/>
          <w:szCs w:val="22"/>
          <w:rFonts w:cs="Arial"/>
        </w:rPr>
      </w:pPr>
      <w:r>
        <w:rPr>
          <w:sz w:val="22"/>
        </w:rPr>
        <w:t xml:space="preserve">lietojumprogrammas mobilajām ierīcēm.</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0" w:name="_Ref505083294"/>
      <w:r>
        <w:rPr>
          <w:sz w:val="22"/>
        </w:rPr>
        <w:t xml:space="preserve">Ar privāto transportu saistītie pakalpojumi</w:t>
      </w:r>
      <w:bookmarkEnd w:id="10"/>
    </w:p>
    <w:p w14:paraId="0C12C9D0" w14:textId="77777777" w:rsidR="00E526B5" w:rsidRPr="000F0A63" w:rsidRDefault="00E526B5" w:rsidP="00E526B5">
      <w:pPr>
        <w:tabs>
          <w:tab w:val="left" w:pos="284"/>
        </w:tabs>
        <w:jc w:val="both"/>
        <w:rPr>
          <w:bCs/>
          <w:sz w:val="22"/>
          <w:szCs w:val="22"/>
          <w:rFonts w:cs="Arial"/>
        </w:rPr>
      </w:pPr>
      <w:r>
        <w:rPr>
          <w:sz w:val="22"/>
        </w:rPr>
        <w:t xml:space="preserve">Lai uzņēmumi, kuri piedāvā bezvadītāja automobiļu nomas pakalpojumus un kuru autoparkā ir vairāk nekā 100 transportlīdzekļu, un uzņēmumi, kuri piedāvā automobiļu nomas pakalpojumus ar autovadītāju un kuru autoparkā ir vairāk nekā 50 transportlīdzekļu, varētu ievērot 128. pantā izklāstītos nosacījumus, ir noteikti šādi galīgie termiņi:</w:t>
      </w:r>
      <w:r>
        <w:rPr>
          <w:sz w:val="22"/>
        </w:rPr>
        <w:t xml:space="preserve"> </w:t>
      </w:r>
    </w:p>
    <w:p w14:paraId="47D4E7EF"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1 gads pēc šā kodeksa stāšanās spēkā:</w:t>
      </w:r>
      <w:r>
        <w:rPr>
          <w:sz w:val="22"/>
        </w:rPr>
        <w:t xml:space="preserve"> </w:t>
      </w:r>
    </w:p>
    <w:p w14:paraId="4DD29E94" w14:textId="37067D80" w:rsidR="00E526B5" w:rsidRPr="000F0A63" w:rsidRDefault="00E526B5" w:rsidP="00E526B5">
      <w:pPr>
        <w:widowControl w:val="0"/>
        <w:tabs>
          <w:tab w:val="left" w:pos="426"/>
        </w:tabs>
        <w:jc w:val="both"/>
        <w:rPr>
          <w:sz w:val="22"/>
          <w:szCs w:val="22"/>
          <w:rFonts w:cs="Arial"/>
        </w:rPr>
      </w:pPr>
      <w:r>
        <w:rPr>
          <w:sz w:val="22"/>
        </w:rPr>
        <w:t xml:space="preserve">a1.</w:t>
      </w:r>
      <w:r>
        <w:rPr>
          <w:sz w:val="22"/>
        </w:rPr>
        <w:tab/>
      </w:r>
      <w:r>
        <w:rPr>
          <w:sz w:val="22"/>
        </w:rPr>
        <w:t xml:space="preserve">tiem jānodrošina tādu transportlīdzekļu piegāde, ar kuriem ratiņkrēslos var pārvadāt personas, kas nav vadītāji, un kuru skaits ir vienāds ar vai lielāks par 1 % no to pārvaldītā autoparka;</w:t>
      </w:r>
      <w:r>
        <w:rPr>
          <w:sz w:val="22"/>
        </w:rPr>
        <w:t xml:space="preserve"> </w:t>
      </w:r>
    </w:p>
    <w:p w14:paraId="241A7D0B" w14:textId="07973EFE" w:rsidR="00E526B5" w:rsidRPr="000F0A63" w:rsidRDefault="00E526B5" w:rsidP="00B670F2">
      <w:pPr>
        <w:widowControl w:val="0"/>
        <w:tabs>
          <w:tab w:val="left" w:pos="426"/>
        </w:tabs>
        <w:jc w:val="both"/>
        <w:rPr>
          <w:sz w:val="22"/>
          <w:szCs w:val="22"/>
          <w:rFonts w:cs="Arial"/>
        </w:rPr>
      </w:pPr>
      <w:r>
        <w:rPr>
          <w:sz w:val="22"/>
        </w:rPr>
        <w:t xml:space="preserve">a2.</w:t>
      </w:r>
      <w:r>
        <w:rPr>
          <w:sz w:val="22"/>
        </w:rPr>
        <w:tab/>
      </w:r>
      <w:r>
        <w:rPr>
          <w:sz w:val="22"/>
        </w:rPr>
        <w:t xml:space="preserve">tiem jānodrošina tādu transportlīdzekļu piegāde, kuri ir pielāgoti vadītājiem ar ierobežotām pārvietošanās spējām un kuru skaits ir vismaz 0,5 % no to pārvaldītā autoparka;</w:t>
      </w:r>
      <w:r>
        <w:rPr>
          <w:sz w:val="22"/>
        </w:rPr>
        <w:t xml:space="preserve"> </w:t>
      </w:r>
    </w:p>
    <w:p w14:paraId="273BCA57" w14:textId="19D21C18" w:rsidR="00E526B5" w:rsidRPr="000F0A63" w:rsidRDefault="00E526B5" w:rsidP="00B670F2">
      <w:pPr>
        <w:widowControl w:val="0"/>
        <w:tabs>
          <w:tab w:val="left" w:pos="426"/>
        </w:tabs>
        <w:jc w:val="both"/>
        <w:rPr>
          <w:sz w:val="22"/>
          <w:szCs w:val="22"/>
          <w:rFonts w:cs="Arial"/>
        </w:rPr>
      </w:pPr>
      <w:r>
        <w:rPr>
          <w:sz w:val="22"/>
        </w:rPr>
        <w:t xml:space="preserve">a3.</w:t>
      </w:r>
      <w:r>
        <w:rPr>
          <w:sz w:val="22"/>
        </w:rPr>
        <w:tab/>
      </w:r>
      <w:r>
        <w:rPr>
          <w:sz w:val="22"/>
        </w:rPr>
        <w:t xml:space="preserve">iepriekšējos punktos norādīto piegādi var nodrošināt, izmantojot savus transportlīdzekļus vai noslēdzot līgumus ar citiem uzņēmējiem, kas garantē pietiekamu piekļūstamību;</w:t>
      </w:r>
    </w:p>
    <w:p w14:paraId="3BCE400D"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3 gadi pēc šā kodeksa stāšanās spēkā:</w:t>
      </w:r>
      <w:r>
        <w:rPr>
          <w:sz w:val="22"/>
        </w:rPr>
        <w:t xml:space="preserve"> </w:t>
      </w:r>
    </w:p>
    <w:p w14:paraId="727C0165" w14:textId="23D3973D" w:rsidR="00E526B5" w:rsidRPr="000F0A63" w:rsidRDefault="00E526B5" w:rsidP="00B670F2">
      <w:pPr>
        <w:widowControl w:val="0"/>
        <w:tabs>
          <w:tab w:val="left" w:pos="426"/>
        </w:tabs>
        <w:jc w:val="both"/>
        <w:rPr>
          <w:sz w:val="22"/>
          <w:szCs w:val="22"/>
          <w:rFonts w:cs="Arial"/>
        </w:rPr>
      </w:pPr>
      <w:r>
        <w:rPr>
          <w:sz w:val="22"/>
        </w:rPr>
        <w:t xml:space="preserve">b1.</w:t>
      </w:r>
      <w:r>
        <w:rPr>
          <w:sz w:val="22"/>
        </w:rPr>
        <w:tab/>
      </w:r>
      <w:r>
        <w:rPr>
          <w:sz w:val="22"/>
        </w:rPr>
        <w:t xml:space="preserve">vismaz 0,5 % sava autoparka transportlīdzekļu ir jānodrošina iespēja ratiņkrēslos pārvadāt personas, kas nav vadītāji;</w:t>
      </w:r>
      <w:r>
        <w:rPr>
          <w:sz w:val="22"/>
        </w:rPr>
        <w:t xml:space="preserve"> </w:t>
      </w:r>
    </w:p>
    <w:p w14:paraId="1A4E7542" w14:textId="77777777" w:rsidR="00E526B5" w:rsidRPr="000F0A63" w:rsidRDefault="00E526B5" w:rsidP="000F4434">
      <w:pPr>
        <w:keepNext/>
        <w:numPr>
          <w:ilvl w:val="0"/>
          <w:numId w:val="31"/>
        </w:numPr>
        <w:tabs>
          <w:tab w:val="left" w:pos="284"/>
        </w:tabs>
        <w:ind w:left="0" w:firstLine="0"/>
        <w:jc w:val="both"/>
        <w:rPr>
          <w:sz w:val="22"/>
          <w:szCs w:val="22"/>
          <w:rFonts w:cs="Arial"/>
        </w:rPr>
      </w:pPr>
      <w:r>
        <w:rPr>
          <w:sz w:val="22"/>
        </w:rPr>
        <w:t xml:space="preserve">6 gadi pēc šā kodeksa stāšanās spēkā:</w:t>
      </w:r>
      <w:r>
        <w:rPr>
          <w:sz w:val="22"/>
        </w:rPr>
        <w:t xml:space="preserve"> </w:t>
      </w:r>
    </w:p>
    <w:p w14:paraId="4EF5184D" w14:textId="39EC3E47" w:rsidR="00E526B5" w:rsidRPr="000F0A63" w:rsidRDefault="00E526B5" w:rsidP="00B670F2">
      <w:pPr>
        <w:widowControl w:val="0"/>
        <w:tabs>
          <w:tab w:val="left" w:pos="426"/>
        </w:tabs>
        <w:jc w:val="both"/>
        <w:rPr>
          <w:sz w:val="22"/>
          <w:szCs w:val="22"/>
          <w:rFonts w:cs="Arial"/>
        </w:rPr>
      </w:pPr>
      <w:r>
        <w:rPr>
          <w:sz w:val="22"/>
        </w:rPr>
        <w:t xml:space="preserve">c1.</w:t>
      </w:r>
      <w:r>
        <w:rPr>
          <w:sz w:val="22"/>
        </w:rPr>
        <w:tab/>
      </w:r>
      <w:r>
        <w:rPr>
          <w:sz w:val="22"/>
        </w:rPr>
        <w:t xml:space="preserve">vismaz 2 % sava autoparka transportlīdzekļu ir jānodrošina iespēja ratiņkrēslos pārvadāt personas, kas nav vadītāji;</w:t>
      </w:r>
    </w:p>
    <w:p w14:paraId="2BB22C13" w14:textId="169DA298" w:rsidR="00E526B5" w:rsidRPr="000F0A63" w:rsidRDefault="00E526B5" w:rsidP="00B670F2">
      <w:pPr>
        <w:widowControl w:val="0"/>
        <w:tabs>
          <w:tab w:val="left" w:pos="426"/>
        </w:tabs>
        <w:jc w:val="both"/>
        <w:rPr>
          <w:sz w:val="22"/>
          <w:szCs w:val="22"/>
          <w:rFonts w:cs="Arial"/>
        </w:rPr>
      </w:pPr>
      <w:r>
        <w:rPr>
          <w:sz w:val="22"/>
        </w:rPr>
        <w:t xml:space="preserve">c2.</w:t>
      </w:r>
      <w:r>
        <w:rPr>
          <w:sz w:val="22"/>
        </w:rPr>
        <w:tab/>
      </w:r>
      <w:r>
        <w:rPr>
          <w:sz w:val="22"/>
        </w:rPr>
        <w:t xml:space="preserve">vismaz 0,5 % sava autoparka transportlīdzekļu jāpielāgo transportlīdzekļu vadītājiem ar ierobežotām pārvietošanās spējām.</w:t>
      </w:r>
      <w:r>
        <w:rPr>
          <w:sz w:val="22"/>
        </w:rPr>
        <w:t xml:space="preserve">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1" w:name="_Ref505095784"/>
      <w:r>
        <w:rPr>
          <w:sz w:val="22"/>
        </w:rPr>
        <w:t xml:space="preserve">Pakalpojumi, kas saistīti ar tūristu izmitināšanu</w:t>
      </w:r>
      <w:bookmarkEnd w:id="11"/>
      <w:r>
        <w:rPr>
          <w:sz w:val="22"/>
        </w:rPr>
        <w:t xml:space="preserve"> </w:t>
      </w:r>
    </w:p>
    <w:p w14:paraId="4E8242D0" w14:textId="77777777" w:rsidR="00E526B5" w:rsidRPr="000F0A63" w:rsidRDefault="00E526B5" w:rsidP="00E526B5">
      <w:pPr>
        <w:tabs>
          <w:tab w:val="left" w:pos="284"/>
        </w:tabs>
        <w:jc w:val="both"/>
        <w:rPr>
          <w:bCs/>
          <w:sz w:val="22"/>
          <w:szCs w:val="22"/>
          <w:rFonts w:cs="Arial"/>
        </w:rPr>
      </w:pPr>
      <w:r>
        <w:rPr>
          <w:sz w:val="22"/>
        </w:rPr>
        <w:t xml:space="preserve">Lai tīmekļvietnes un mobilās lietojumprogrammas viesnīcu ķēdēm un uzņēmumiem, kuru kapacitāte ir vairāk nekā 100 istabu, kas nodrošina iespēju rezervēt izmitināšanu un tiešsaistes pakalpojumus, varētu būt piekļūstamas un atbilstu 130. pantā norādītajiem nosacījumiem, ir noteikti šādi galīgie termiņi:</w:t>
      </w:r>
    </w:p>
    <w:p w14:paraId="764A0265"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2 gadi pēc šā kodeksa stāšanās spēkā:</w:t>
      </w:r>
    </w:p>
    <w:p w14:paraId="104ADEEC" w14:textId="77777777" w:rsidR="00E526B5" w:rsidRPr="000F0A63" w:rsidRDefault="00E526B5" w:rsidP="000F4434">
      <w:pPr>
        <w:numPr>
          <w:ilvl w:val="0"/>
          <w:numId w:val="43"/>
        </w:numPr>
        <w:tabs>
          <w:tab w:val="clear" w:pos="1440"/>
          <w:tab w:val="num" w:pos="567"/>
        </w:tabs>
        <w:ind w:left="0" w:firstLine="0"/>
        <w:jc w:val="both"/>
        <w:rPr>
          <w:bCs/>
          <w:iCs/>
          <w:sz w:val="22"/>
          <w:szCs w:val="22"/>
          <w:rFonts w:cs="Arial"/>
        </w:rPr>
      </w:pPr>
      <w:r>
        <w:rPr>
          <w:sz w:val="22"/>
        </w:rPr>
        <w:t xml:space="preserve">tīmekļvietnes un mobilās lietojumprogrammas viesnīcu ķēdēm, kurās ir 5 vai vairāk uzņēmumu un kuras kopā nodrošina izmitināšanu vairāk nekā 500 istabās;</w:t>
      </w:r>
    </w:p>
    <w:p w14:paraId="2356AB86"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3 gadi pēc šā kodeksa stāšanās spēkā:</w:t>
      </w:r>
    </w:p>
    <w:p w14:paraId="4EFEF877"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tīmekļvietnes un mobilās lietojumprogrammas viesnīcu ķēdēm, kurās ir līdz 4 uzņēmumiem un kuras kopā nodrošina izmitināšanu vairāk nekā 500 istabās;</w:t>
      </w:r>
    </w:p>
    <w:p w14:paraId="268EBD55"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tīmekļvietnes un mobilās lietojumprogrammas uzņēmumiem ar 500 vai vairāk istabām;</w:t>
      </w:r>
    </w:p>
    <w:p w14:paraId="4D022006" w14:textId="77777777" w:rsidR="00E526B5" w:rsidRPr="000F0A63" w:rsidRDefault="00E526B5" w:rsidP="000F4434">
      <w:pPr>
        <w:numPr>
          <w:ilvl w:val="0"/>
          <w:numId w:val="42"/>
        </w:numPr>
        <w:tabs>
          <w:tab w:val="left" w:pos="284"/>
        </w:tabs>
        <w:ind w:left="0" w:firstLine="0"/>
        <w:jc w:val="both"/>
        <w:rPr>
          <w:sz w:val="22"/>
          <w:szCs w:val="22"/>
          <w:rFonts w:cs="Arial"/>
        </w:rPr>
      </w:pPr>
      <w:r>
        <w:rPr>
          <w:sz w:val="22"/>
        </w:rPr>
        <w:t xml:space="preserve">4 gadi pēc šā kodeksa stāšanās spēkā:</w:t>
      </w:r>
    </w:p>
    <w:p w14:paraId="65935E38" w14:textId="77777777" w:rsidR="00E526B5" w:rsidRPr="000F0A63" w:rsidRDefault="00E526B5" w:rsidP="000F4434">
      <w:pPr>
        <w:numPr>
          <w:ilvl w:val="0"/>
          <w:numId w:val="45"/>
        </w:numPr>
        <w:tabs>
          <w:tab w:val="left" w:pos="567"/>
        </w:tabs>
        <w:ind w:left="0" w:firstLine="0"/>
        <w:jc w:val="both"/>
        <w:rPr>
          <w:bCs/>
          <w:iCs/>
          <w:sz w:val="22"/>
          <w:szCs w:val="22"/>
          <w:rFonts w:cs="Arial"/>
        </w:rPr>
      </w:pPr>
      <w:r>
        <w:rPr>
          <w:sz w:val="22"/>
        </w:rPr>
        <w:t xml:space="preserve">tīmekļvietnes un mobilās lietojumprogrammas viesnīcu ķēdēm, kuras kopā nodrošina izmitināšanu 100 līdz 500 istabās;</w:t>
      </w:r>
    </w:p>
    <w:p w14:paraId="61927497" w14:textId="77777777" w:rsidR="00E526B5" w:rsidRPr="000F0A63" w:rsidRDefault="00E526B5" w:rsidP="000F4434">
      <w:pPr>
        <w:numPr>
          <w:ilvl w:val="0"/>
          <w:numId w:val="45"/>
        </w:numPr>
        <w:tabs>
          <w:tab w:val="left" w:pos="284"/>
          <w:tab w:val="left" w:pos="567"/>
        </w:tabs>
        <w:ind w:left="0" w:firstLine="0"/>
        <w:jc w:val="both"/>
        <w:rPr>
          <w:bCs/>
          <w:iCs/>
          <w:sz w:val="22"/>
          <w:szCs w:val="22"/>
          <w:rFonts w:cs="Arial"/>
        </w:rPr>
      </w:pPr>
      <w:r>
        <w:rPr>
          <w:sz w:val="22"/>
        </w:rPr>
        <w:t xml:space="preserve">tīmekļvietnes un lietojumprogrammas mobilajām ierīcēm uzņēmumiem, kuros ir no 50 līdz 500 istabām.</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12" w:name="_Ref63848315"/>
      <w:r>
        <w:rPr>
          <w:sz w:val="22"/>
        </w:rPr>
        <w:t xml:space="preserve">Izglītības pakalpojumi</w:t>
      </w:r>
      <w:bookmarkEnd w:id="12"/>
    </w:p>
    <w:p w14:paraId="355384ED" w14:textId="77777777" w:rsidR="00E526B5" w:rsidRPr="000F0A63" w:rsidRDefault="00E526B5" w:rsidP="00E526B5">
      <w:pPr>
        <w:tabs>
          <w:tab w:val="left" w:pos="284"/>
        </w:tabs>
        <w:jc w:val="both"/>
        <w:rPr>
          <w:bCs/>
          <w:sz w:val="22"/>
          <w:szCs w:val="22"/>
          <w:rFonts w:cs="Arial"/>
        </w:rPr>
      </w:pPr>
      <w:r>
        <w:rPr>
          <w:sz w:val="22"/>
        </w:rPr>
        <w:t xml:space="preserve">Lai tīmekļvietnes un mobilās lietojumprogrammas izglītības iestādēs, kas nodrošina formālo izglītību, būtu piekļūstamas un atbilstu 135. pantā izklāstītajiem nosacījumiem, ir noteikti šādi galīgie termiņi:</w:t>
      </w:r>
    </w:p>
    <w:p w14:paraId="601F3FE1"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2 gadi pēc šā kodeksa stāšanās spēkā:</w:t>
      </w:r>
    </w:p>
    <w:p w14:paraId="29E27507" w14:textId="77777777" w:rsidR="00E526B5" w:rsidRPr="000F0A63" w:rsidRDefault="00E526B5" w:rsidP="000F4434">
      <w:pPr>
        <w:numPr>
          <w:ilvl w:val="0"/>
          <w:numId w:val="47"/>
        </w:numPr>
        <w:tabs>
          <w:tab w:val="clear" w:pos="1440"/>
          <w:tab w:val="num" w:pos="567"/>
        </w:tabs>
        <w:ind w:left="0" w:firstLine="0"/>
        <w:jc w:val="both"/>
        <w:rPr>
          <w:bCs/>
          <w:iCs/>
          <w:sz w:val="22"/>
          <w:szCs w:val="22"/>
          <w:rFonts w:cs="Arial"/>
        </w:rPr>
      </w:pPr>
      <w:r>
        <w:rPr>
          <w:sz w:val="22"/>
        </w:rPr>
        <w:t xml:space="preserve">tīmekļa lapas un lietojumprogrammas mobilajām ierīcēm, kas nodrošina iespēju meklēt akadēmiskos ierakstus, pārvaldīt rēķinus vai citus tiešsaistes procesus;</w:t>
      </w:r>
    </w:p>
    <w:p w14:paraId="6FB062A9"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3 gadi pēc šā kodeksa stāšanās spēkā:</w:t>
      </w:r>
    </w:p>
    <w:p w14:paraId="5CC5D46B" w14:textId="77777777" w:rsidR="00E526B5" w:rsidRPr="000F0A63" w:rsidRDefault="00E526B5" w:rsidP="000F4434">
      <w:pPr>
        <w:numPr>
          <w:ilvl w:val="0"/>
          <w:numId w:val="48"/>
        </w:numPr>
        <w:tabs>
          <w:tab w:val="clear" w:pos="1440"/>
          <w:tab w:val="num" w:pos="567"/>
        </w:tabs>
        <w:ind w:left="0" w:firstLine="0"/>
        <w:jc w:val="both"/>
        <w:rPr>
          <w:bCs/>
          <w:sz w:val="22"/>
          <w:szCs w:val="22"/>
          <w:rFonts w:cs="Arial"/>
        </w:rPr>
      </w:pPr>
      <w:r>
        <w:rPr>
          <w:sz w:val="22"/>
        </w:rPr>
        <w:t xml:space="preserve">tīmekļvietnes un lietojumprogrammas mobilajām ierīcēm, kas sniedz informāciju par skolu, iekārtām un izglītojošiem piedāvājumiem.</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r>
        <w:rPr>
          <w:sz w:val="22"/>
        </w:rPr>
        <w:t xml:space="preserve">Veselības aprūpes pakalpojumi</w:t>
      </w:r>
    </w:p>
    <w:p w14:paraId="62E28D59" w14:textId="77777777" w:rsidR="00E526B5" w:rsidRPr="000F0A63" w:rsidRDefault="00E526B5" w:rsidP="00E526B5">
      <w:pPr>
        <w:tabs>
          <w:tab w:val="left" w:pos="284"/>
        </w:tabs>
        <w:jc w:val="both"/>
        <w:rPr>
          <w:bCs/>
          <w:sz w:val="22"/>
          <w:szCs w:val="22"/>
          <w:rFonts w:cs="Arial"/>
        </w:rPr>
      </w:pPr>
      <w:r>
        <w:rPr>
          <w:sz w:val="22"/>
        </w:rPr>
        <w:t xml:space="preserve">Veselības aprūpes centriem, kuros ir 50 vai vairāk gultasvietu, jāievēro šādi termiņi un nosacījumi:</w:t>
      </w:r>
      <w:r>
        <w:rPr>
          <w:sz w:val="22"/>
        </w:rPr>
        <w:t xml:space="preserve"> </w:t>
      </w:r>
    </w:p>
    <w:p w14:paraId="28557BD4" w14:textId="77777777" w:rsidR="00E526B5" w:rsidRPr="000F0A63" w:rsidRDefault="00E526B5" w:rsidP="000F4434">
      <w:pPr>
        <w:numPr>
          <w:ilvl w:val="0"/>
          <w:numId w:val="49"/>
        </w:numPr>
        <w:tabs>
          <w:tab w:val="left" w:pos="284"/>
        </w:tabs>
        <w:ind w:left="0" w:firstLine="0"/>
        <w:jc w:val="both"/>
        <w:rPr>
          <w:bCs/>
          <w:iCs/>
          <w:sz w:val="22"/>
          <w:szCs w:val="22"/>
          <w:rFonts w:cs="Arial"/>
        </w:rPr>
      </w:pPr>
      <w:r>
        <w:rPr>
          <w:sz w:val="22"/>
        </w:rPr>
        <w:t xml:space="preserve">3 gadi pēc šā kodeksa stāšanās spēkā:</w:t>
      </w:r>
    </w:p>
    <w:p w14:paraId="727C4E74" w14:textId="77777777" w:rsidR="00E526B5" w:rsidRPr="000F0A63" w:rsidRDefault="00E526B5" w:rsidP="00E526B5">
      <w:pPr>
        <w:tabs>
          <w:tab w:val="left" w:pos="284"/>
        </w:tabs>
        <w:jc w:val="both"/>
        <w:rPr>
          <w:sz w:val="22"/>
          <w:szCs w:val="22"/>
          <w:rFonts w:cs="Arial"/>
        </w:rPr>
      </w:pPr>
      <w:r>
        <w:rPr>
          <w:sz w:val="22"/>
        </w:rPr>
        <w:t xml:space="preserve">iestādēs, kurās ir ne mazāk par 2 % gultasvietu, ir infrastruktūra, mobilās ierīces un protokoli, lai palīdzētu nedzirdīgiem cilvēkiem, izmantojot katalāņu zīmju valodu ar attālinātas tulkošanas tehnoloģijas starpniecību.</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3</cp:revision>
  <dcterms:created xsi:type="dcterms:W3CDTF">2023-04-26T07:42:00Z</dcterms:created>
  <dcterms:modified xsi:type="dcterms:W3CDTF">2023-05-02T16:13:00Z</dcterms:modified>
</cp:coreProperties>
</file>