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9D28A0" w14:paraId="2B35C05E" w14:textId="77777777" w:rsidTr="00A92F66">
        <w:tc>
          <w:tcPr>
            <w:tcW w:w="4431" w:type="dxa"/>
          </w:tcPr>
          <w:p w14:paraId="23EBE17A" w14:textId="77777777" w:rsidR="00043ABD" w:rsidRPr="009D28A0" w:rsidRDefault="00043ABD" w:rsidP="00043ABD">
            <w:pPr>
              <w:suppressAutoHyphens/>
              <w:spacing w:after="0" w:line="240" w:lineRule="auto"/>
              <w:jc w:val="center"/>
              <w:rPr>
                <w:rFonts w:ascii="Calibri" w:eastAsia="Times New Roman" w:hAnsi="Calibri" w:cs="Calibri"/>
                <w:b/>
                <w:bCs/>
                <w:sz w:val="24"/>
                <w:szCs w:val="24"/>
              </w:rPr>
            </w:pPr>
            <w:r w:rsidRPr="009D28A0">
              <w:rPr>
                <w:rFonts w:ascii="Calibri" w:hAnsi="Calibri"/>
                <w:b/>
                <w:sz w:val="24"/>
              </w:rPr>
              <w:t>Konungariket Belgien</w:t>
            </w:r>
          </w:p>
        </w:tc>
      </w:tr>
      <w:tr w:rsidR="00043ABD" w:rsidRPr="009D28A0" w14:paraId="4A6D0801" w14:textId="77777777" w:rsidTr="00A92F66">
        <w:tc>
          <w:tcPr>
            <w:tcW w:w="4431" w:type="dxa"/>
          </w:tcPr>
          <w:p w14:paraId="48218EB8" w14:textId="77777777" w:rsidR="00043ABD" w:rsidRPr="009D28A0" w:rsidRDefault="00043ABD" w:rsidP="00043ABD">
            <w:pPr>
              <w:suppressAutoHyphens/>
              <w:spacing w:after="0" w:line="240" w:lineRule="auto"/>
              <w:jc w:val="center"/>
              <w:rPr>
                <w:rFonts w:ascii="Calibri" w:eastAsia="Times New Roman" w:hAnsi="Calibri" w:cs="Calibri"/>
                <w:b/>
                <w:bCs/>
                <w:sz w:val="24"/>
                <w:szCs w:val="24"/>
              </w:rPr>
            </w:pPr>
          </w:p>
        </w:tc>
      </w:tr>
      <w:tr w:rsidR="00043ABD" w:rsidRPr="009D28A0" w14:paraId="417F3983" w14:textId="77777777" w:rsidTr="00A92F66">
        <w:tc>
          <w:tcPr>
            <w:tcW w:w="4431" w:type="dxa"/>
          </w:tcPr>
          <w:p w14:paraId="53D8DC10" w14:textId="77777777" w:rsidR="00043ABD" w:rsidRPr="009D28A0" w:rsidRDefault="00043ABD" w:rsidP="00043ABD">
            <w:pPr>
              <w:suppressAutoHyphens/>
              <w:spacing w:after="0" w:line="240" w:lineRule="auto"/>
              <w:jc w:val="center"/>
              <w:rPr>
                <w:rFonts w:ascii="Calibri" w:eastAsia="Times New Roman" w:hAnsi="Calibri" w:cs="Calibri"/>
                <w:b/>
                <w:bCs/>
                <w:sz w:val="24"/>
                <w:szCs w:val="24"/>
              </w:rPr>
            </w:pPr>
          </w:p>
        </w:tc>
      </w:tr>
      <w:tr w:rsidR="00043ABD" w:rsidRPr="009D28A0" w14:paraId="2B63A3C5" w14:textId="77777777" w:rsidTr="00A92F66">
        <w:tc>
          <w:tcPr>
            <w:tcW w:w="4431" w:type="dxa"/>
          </w:tcPr>
          <w:p w14:paraId="48CE3F6A" w14:textId="77777777" w:rsidR="00043ABD" w:rsidRPr="009D28A0" w:rsidRDefault="00043ABD" w:rsidP="00043ABD">
            <w:pPr>
              <w:suppressAutoHyphens/>
              <w:spacing w:after="0" w:line="240" w:lineRule="auto"/>
              <w:jc w:val="center"/>
              <w:rPr>
                <w:rFonts w:ascii="Calibri" w:eastAsia="Times New Roman" w:hAnsi="Calibri" w:cs="Calibri"/>
                <w:b/>
                <w:bCs/>
                <w:sz w:val="24"/>
                <w:szCs w:val="24"/>
              </w:rPr>
            </w:pPr>
            <w:r w:rsidRPr="009D28A0">
              <w:rPr>
                <w:rFonts w:ascii="Calibri" w:hAnsi="Calibri"/>
                <w:b/>
                <w:sz w:val="24"/>
              </w:rPr>
              <w:t>FEDERALA OFFENTLIGA TJÄNSTEN FÖR FOLKHÄLSA, SÄKERHET I LIVSMEDELSKEDJAN OCH MILJÖN</w:t>
            </w:r>
          </w:p>
        </w:tc>
      </w:tr>
      <w:tr w:rsidR="00043ABD" w:rsidRPr="009D28A0" w14:paraId="7E52C64C" w14:textId="77777777" w:rsidTr="00A92F66">
        <w:tc>
          <w:tcPr>
            <w:tcW w:w="4431" w:type="dxa"/>
          </w:tcPr>
          <w:p w14:paraId="288E8360" w14:textId="77777777" w:rsidR="00043ABD" w:rsidRPr="009D28A0" w:rsidRDefault="00043ABD" w:rsidP="00043ABD">
            <w:pPr>
              <w:suppressAutoHyphens/>
              <w:spacing w:after="0" w:line="240" w:lineRule="auto"/>
              <w:rPr>
                <w:rFonts w:ascii="Calibri" w:eastAsia="Times New Roman" w:hAnsi="Calibri" w:cs="Calibri"/>
                <w:sz w:val="24"/>
                <w:szCs w:val="24"/>
              </w:rPr>
            </w:pPr>
          </w:p>
        </w:tc>
      </w:tr>
      <w:tr w:rsidR="00043ABD" w:rsidRPr="009D28A0" w14:paraId="1877D835" w14:textId="77777777" w:rsidTr="00A92F66">
        <w:tc>
          <w:tcPr>
            <w:tcW w:w="4431" w:type="dxa"/>
          </w:tcPr>
          <w:p w14:paraId="488E5C4D" w14:textId="77777777" w:rsidR="00043ABD" w:rsidRPr="009D28A0" w:rsidRDefault="00043ABD" w:rsidP="00043ABD">
            <w:pPr>
              <w:suppressAutoHyphens/>
              <w:spacing w:after="0" w:line="240" w:lineRule="auto"/>
              <w:jc w:val="center"/>
              <w:rPr>
                <w:rFonts w:ascii="Calibri" w:eastAsia="Times New Roman" w:hAnsi="Calibri" w:cs="Calibri"/>
                <w:b/>
                <w:bCs/>
                <w:sz w:val="24"/>
                <w:szCs w:val="24"/>
              </w:rPr>
            </w:pPr>
            <w:r w:rsidRPr="009D28A0">
              <w:rPr>
                <w:rFonts w:ascii="Calibri" w:hAnsi="Calibri"/>
                <w:b/>
                <w:sz w:val="24"/>
              </w:rPr>
              <w:t xml:space="preserve">Kunglig förordning av den </w:t>
            </w:r>
            <w:r w:rsidRPr="009D28A0">
              <w:rPr>
                <w:rFonts w:ascii="Calibri" w:hAnsi="Calibri"/>
                <w:b/>
                <w:sz w:val="24"/>
                <w:highlight w:val="yellow"/>
              </w:rPr>
              <w:t>XXX</w:t>
            </w:r>
            <w:r w:rsidRPr="009D28A0">
              <w:rPr>
                <w:rFonts w:ascii="Calibri" w:hAnsi="Calibri"/>
                <w:b/>
                <w:sz w:val="24"/>
              </w:rPr>
              <w:t xml:space="preserve"> om tillverkning och utsläppande på marknaden av tobaksvaror och örtprodukter för rökning</w:t>
            </w:r>
          </w:p>
        </w:tc>
      </w:tr>
      <w:tr w:rsidR="00043ABD" w:rsidRPr="009D28A0" w14:paraId="5B519AF0" w14:textId="77777777" w:rsidTr="00A92F66">
        <w:tc>
          <w:tcPr>
            <w:tcW w:w="4431" w:type="dxa"/>
          </w:tcPr>
          <w:p w14:paraId="48AE21C0" w14:textId="77777777" w:rsidR="00043ABD" w:rsidRPr="009D28A0"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9D28A0" w14:paraId="171FE0D7" w14:textId="77777777" w:rsidTr="00A92F66">
        <w:tc>
          <w:tcPr>
            <w:tcW w:w="4431" w:type="dxa"/>
          </w:tcPr>
          <w:p w14:paraId="64B1E15F" w14:textId="77777777" w:rsidR="00043ABD" w:rsidRPr="009D28A0" w:rsidRDefault="00043ABD" w:rsidP="00043ABD">
            <w:pPr>
              <w:suppressAutoHyphens/>
              <w:spacing w:after="0" w:line="240" w:lineRule="auto"/>
              <w:jc w:val="center"/>
              <w:rPr>
                <w:rFonts w:ascii="Calibri" w:eastAsia="Times New Roman" w:hAnsi="Calibri" w:cs="Calibri"/>
              </w:rPr>
            </w:pPr>
            <w:r w:rsidRPr="009D28A0">
              <w:rPr>
                <w:rFonts w:ascii="Calibri" w:hAnsi="Calibri"/>
              </w:rPr>
              <w:t>PHILIPPE, belgarnas konung,</w:t>
            </w:r>
          </w:p>
        </w:tc>
      </w:tr>
      <w:tr w:rsidR="00043ABD" w:rsidRPr="009D28A0" w14:paraId="788364DB" w14:textId="77777777" w:rsidTr="00A92F66">
        <w:tc>
          <w:tcPr>
            <w:tcW w:w="4431" w:type="dxa"/>
          </w:tcPr>
          <w:p w14:paraId="3D015E17" w14:textId="77777777" w:rsidR="00043ABD" w:rsidRPr="009D28A0" w:rsidRDefault="00043ABD" w:rsidP="00043ABD">
            <w:pPr>
              <w:suppressAutoHyphens/>
              <w:spacing w:after="0" w:line="240" w:lineRule="auto"/>
              <w:jc w:val="center"/>
              <w:rPr>
                <w:rFonts w:ascii="Calibri" w:eastAsia="Times New Roman" w:hAnsi="Calibri" w:cs="Calibri"/>
                <w:b/>
                <w:bCs/>
              </w:rPr>
            </w:pPr>
          </w:p>
        </w:tc>
      </w:tr>
      <w:tr w:rsidR="00043ABD" w:rsidRPr="009D28A0" w14:paraId="00B07F99" w14:textId="77777777" w:rsidTr="00A92F66">
        <w:tc>
          <w:tcPr>
            <w:tcW w:w="4431" w:type="dxa"/>
          </w:tcPr>
          <w:p w14:paraId="63C110DB" w14:textId="77777777" w:rsidR="00043ABD" w:rsidRPr="009D28A0" w:rsidRDefault="00043ABD" w:rsidP="00043ABD">
            <w:pPr>
              <w:suppressAutoHyphens/>
              <w:spacing w:after="0" w:line="240" w:lineRule="auto"/>
              <w:jc w:val="center"/>
              <w:rPr>
                <w:rFonts w:ascii="Calibri" w:eastAsia="Times New Roman" w:hAnsi="Calibri" w:cs="Calibri"/>
              </w:rPr>
            </w:pPr>
            <w:r w:rsidRPr="009D28A0">
              <w:rPr>
                <w:rFonts w:ascii="Calibri" w:hAnsi="Calibri"/>
              </w:rPr>
              <w:t>utfärdar denna förordning, riktad till alla nu och i framtiden berörda parter,</w:t>
            </w:r>
          </w:p>
        </w:tc>
      </w:tr>
      <w:tr w:rsidR="00043ABD" w:rsidRPr="009D28A0" w14:paraId="6F61F156" w14:textId="77777777" w:rsidTr="00A92F66">
        <w:tc>
          <w:tcPr>
            <w:tcW w:w="4431" w:type="dxa"/>
          </w:tcPr>
          <w:p w14:paraId="0E1BC27D"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med beaktande av lagen av den 24 januari 1977 om skydd av konsumenternas hälsa med avseende på livsmedel och andra produkter, artikel 2.1, artikel 6.1 a i dess lydelse enligt lagen av den 22 mars 1989, artikel 10.1, ersatt genom lagen av den 9 februari 1994 och artikel 10.3, i dess lydelse enligt lagen av den 10 april 2014, och artikel 18, 1 §, ersatt genom lagen av den 22 mars 1989 och ändrad genom lagen av den 22 december 2003, </w:t>
            </w:r>
          </w:p>
          <w:p w14:paraId="5A00E7D6" w14:textId="77777777" w:rsidR="00043ABD" w:rsidRPr="009D28A0" w:rsidRDefault="00043ABD" w:rsidP="00043ABD">
            <w:pPr>
              <w:suppressAutoHyphens/>
              <w:spacing w:after="0" w:line="240" w:lineRule="auto"/>
              <w:jc w:val="both"/>
              <w:rPr>
                <w:rFonts w:ascii="Calibri" w:eastAsia="Times New Roman" w:hAnsi="Calibri" w:cs="Calibri"/>
              </w:rPr>
            </w:pPr>
          </w:p>
          <w:p w14:paraId="6FCAEB72" w14:textId="77777777" w:rsidR="00043ABD" w:rsidRPr="009D28A0" w:rsidRDefault="00043ABD" w:rsidP="00043ABD">
            <w:pPr>
              <w:suppressAutoHyphens/>
              <w:spacing w:after="0" w:line="240" w:lineRule="auto"/>
              <w:jc w:val="both"/>
              <w:rPr>
                <w:rFonts w:ascii="Calibri" w:eastAsia="Times New Roman" w:hAnsi="Calibri" w:cs="Calibri"/>
              </w:rPr>
            </w:pPr>
          </w:p>
          <w:p w14:paraId="56B76FB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med beaktande av den kungliga förordningen av den 5 februari 2016 om tillverkning och saluföring av tobaksvaror och växtbaserade rökningsprodukter, ändrad genom de kungliga dekreten av den 29 juni 2016 och den 26 april 2019,</w:t>
            </w:r>
          </w:p>
          <w:p w14:paraId="5646CBA0" w14:textId="77777777" w:rsidR="00043ABD" w:rsidRPr="009D28A0" w:rsidRDefault="00043ABD" w:rsidP="00043ABD">
            <w:pPr>
              <w:suppressAutoHyphens/>
              <w:spacing w:after="0" w:line="240" w:lineRule="auto"/>
              <w:jc w:val="both"/>
              <w:rPr>
                <w:rFonts w:ascii="Calibri" w:eastAsia="Times New Roman" w:hAnsi="Calibri" w:cs="Calibri"/>
              </w:rPr>
            </w:pPr>
          </w:p>
          <w:p w14:paraId="74FE9FC6" w14:textId="77777777" w:rsidR="00043ABD" w:rsidRPr="009D28A0" w:rsidRDefault="00043ABD" w:rsidP="00043ABD">
            <w:pPr>
              <w:suppressAutoHyphens/>
              <w:spacing w:after="0" w:line="240" w:lineRule="auto"/>
              <w:jc w:val="both"/>
              <w:rPr>
                <w:rFonts w:ascii="Calibri" w:eastAsia="Times New Roman" w:hAnsi="Calibri" w:cs="Calibri"/>
              </w:rPr>
            </w:pPr>
          </w:p>
          <w:p w14:paraId="67446949"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med beaktande av meddelandet till Europeiska kommissionen av den </w:t>
            </w:r>
            <w:r w:rsidRPr="009D28A0">
              <w:rPr>
                <w:rFonts w:ascii="Calibri" w:hAnsi="Calibri"/>
                <w:highlight w:val="yellow"/>
              </w:rPr>
              <w:t>XX</w:t>
            </w:r>
            <w:r w:rsidRPr="009D28A0">
              <w:rPr>
                <w:rFonts w:ascii="Calibri" w:hAnsi="Calibri"/>
              </w:rPr>
              <w:t xml:space="preserve"> i enlighet med artikel 5(1) i Europaparlamentets och rådets direktiv (EU) 2015/1535 av den 9 september 2015 om ett informationsförfarande beträffande tekniska föreskrifter och beträffande föreskrifter för informationssamhällets tjänster, </w:t>
            </w:r>
          </w:p>
          <w:p w14:paraId="46880730" w14:textId="77777777" w:rsidR="00043ABD" w:rsidRPr="009D28A0" w:rsidRDefault="00043ABD" w:rsidP="00043ABD">
            <w:pPr>
              <w:suppressAutoHyphens/>
              <w:spacing w:after="0" w:line="240" w:lineRule="auto"/>
              <w:jc w:val="both"/>
              <w:rPr>
                <w:rFonts w:ascii="Calibri" w:eastAsia="Times New Roman" w:hAnsi="Calibri" w:cs="Calibri"/>
              </w:rPr>
            </w:pPr>
          </w:p>
          <w:p w14:paraId="6B8884F7"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med beaktande av den interfederala strategin 2022–2028 för en tobaksfri generation av den 14 december 2022,</w:t>
            </w:r>
          </w:p>
        </w:tc>
      </w:tr>
      <w:tr w:rsidR="00043ABD" w:rsidRPr="009D28A0" w14:paraId="5BEB2418" w14:textId="77777777" w:rsidTr="00A92F66">
        <w:tc>
          <w:tcPr>
            <w:tcW w:w="4431" w:type="dxa"/>
          </w:tcPr>
          <w:p w14:paraId="1B7468F4" w14:textId="77777777" w:rsidR="00043ABD" w:rsidRPr="009D28A0" w:rsidRDefault="00043ABD" w:rsidP="00043ABD">
            <w:pPr>
              <w:suppressAutoHyphens/>
              <w:spacing w:after="0" w:line="240" w:lineRule="auto"/>
              <w:jc w:val="both"/>
              <w:rPr>
                <w:rFonts w:ascii="Calibri" w:eastAsia="Times New Roman" w:hAnsi="Calibri" w:cs="Calibri"/>
                <w:b/>
                <w:bCs/>
              </w:rPr>
            </w:pPr>
          </w:p>
        </w:tc>
      </w:tr>
      <w:tr w:rsidR="00043ABD" w:rsidRPr="009D28A0" w14:paraId="6D13EDD7" w14:textId="77777777" w:rsidTr="00A92F66">
        <w:tc>
          <w:tcPr>
            <w:tcW w:w="4431" w:type="dxa"/>
          </w:tcPr>
          <w:p w14:paraId="66D4832F" w14:textId="77777777" w:rsidR="00043ABD" w:rsidRPr="009D28A0" w:rsidRDefault="00043ABD" w:rsidP="00043ABD">
            <w:pPr>
              <w:tabs>
                <w:tab w:val="left" w:pos="356"/>
              </w:tabs>
              <w:suppressAutoHyphens/>
              <w:spacing w:after="0" w:line="240" w:lineRule="auto"/>
              <w:jc w:val="both"/>
              <w:rPr>
                <w:rFonts w:ascii="Calibri" w:eastAsia="Times New Roman" w:hAnsi="Calibri" w:cs="Calibri"/>
                <w:bCs/>
              </w:rPr>
            </w:pPr>
            <w:r w:rsidRPr="009D28A0">
              <w:rPr>
                <w:rFonts w:ascii="Calibri" w:hAnsi="Calibri"/>
              </w:rPr>
              <w:t xml:space="preserve">med beaktande av finansinspektörens yttrande av den </w:t>
            </w:r>
            <w:r w:rsidRPr="009D28A0">
              <w:rPr>
                <w:rFonts w:ascii="Calibri" w:hAnsi="Calibri"/>
                <w:highlight w:val="yellow"/>
              </w:rPr>
              <w:t>(datum)</w:t>
            </w:r>
            <w:r w:rsidRPr="009D28A0">
              <w:rPr>
                <w:rFonts w:ascii="Calibri" w:hAnsi="Calibri"/>
              </w:rPr>
              <w:t>,</w:t>
            </w:r>
          </w:p>
          <w:p w14:paraId="01B99372" w14:textId="77777777" w:rsidR="00043ABD" w:rsidRPr="009D28A0"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9D28A0" w:rsidRDefault="00043ABD" w:rsidP="00043ABD">
            <w:pPr>
              <w:tabs>
                <w:tab w:val="left" w:pos="356"/>
              </w:tabs>
              <w:suppressAutoHyphens/>
              <w:spacing w:after="0" w:line="240" w:lineRule="auto"/>
              <w:jc w:val="both"/>
              <w:rPr>
                <w:rFonts w:ascii="Calibri" w:eastAsia="Times New Roman" w:hAnsi="Calibri" w:cs="Calibri"/>
                <w:bCs/>
                <w:color w:val="000000"/>
              </w:rPr>
            </w:pPr>
            <w:r w:rsidRPr="009D28A0">
              <w:rPr>
                <w:rFonts w:ascii="Calibri" w:hAnsi="Calibri"/>
                <w:color w:val="000000"/>
              </w:rPr>
              <w:t xml:space="preserve">med beaktande av budgetministerns godkännande, utfärdat den </w:t>
            </w:r>
            <w:r w:rsidRPr="009D28A0">
              <w:rPr>
                <w:rFonts w:ascii="Calibri" w:hAnsi="Calibri"/>
                <w:color w:val="000000"/>
                <w:highlight w:val="yellow"/>
              </w:rPr>
              <w:t>(datum)</w:t>
            </w:r>
            <w:r w:rsidRPr="009D28A0">
              <w:rPr>
                <w:rFonts w:ascii="Calibri" w:hAnsi="Calibri"/>
                <w:color w:val="000000"/>
              </w:rPr>
              <w:t>,</w:t>
            </w:r>
          </w:p>
          <w:p w14:paraId="68E67B45" w14:textId="77777777" w:rsidR="00043ABD" w:rsidRPr="009D28A0"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9D28A0" w14:paraId="5BFE91B1" w14:textId="77777777" w:rsidTr="00A92F66">
        <w:tc>
          <w:tcPr>
            <w:tcW w:w="4431" w:type="dxa"/>
          </w:tcPr>
          <w:p w14:paraId="309840E6"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med beaktande av yttrandet </w:t>
            </w:r>
            <w:r w:rsidRPr="009D28A0">
              <w:rPr>
                <w:rFonts w:ascii="Calibri" w:hAnsi="Calibri"/>
                <w:highlight w:val="yellow"/>
              </w:rPr>
              <w:t>xxx</w:t>
            </w:r>
            <w:r w:rsidRPr="009D28A0">
              <w:rPr>
                <w:rFonts w:ascii="Calibri" w:hAnsi="Calibri"/>
              </w:rPr>
              <w:t xml:space="preserve"> från Conseil d’État av den (datum), i enlighet med artikel 84.1, stycke 1.2 i lagen om statsrådet, konsoliderad den 12 januari 1973, </w:t>
            </w:r>
          </w:p>
        </w:tc>
      </w:tr>
      <w:tr w:rsidR="00043ABD" w:rsidRPr="009D28A0" w14:paraId="2E80EDBD" w14:textId="77777777" w:rsidTr="00A92F66">
        <w:tc>
          <w:tcPr>
            <w:tcW w:w="4431" w:type="dxa"/>
          </w:tcPr>
          <w:p w14:paraId="502820D8"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på förslag av folkhälsoministern,</w:t>
            </w:r>
          </w:p>
        </w:tc>
      </w:tr>
      <w:tr w:rsidR="00043ABD" w:rsidRPr="009D28A0" w14:paraId="194C02A2" w14:textId="77777777" w:rsidTr="00A92F66">
        <w:tc>
          <w:tcPr>
            <w:tcW w:w="4431" w:type="dxa"/>
          </w:tcPr>
          <w:p w14:paraId="232D3B63" w14:textId="77777777" w:rsidR="00043ABD" w:rsidRPr="009D28A0" w:rsidRDefault="00043ABD" w:rsidP="00043ABD">
            <w:pPr>
              <w:suppressAutoHyphens/>
              <w:spacing w:after="0" w:line="240" w:lineRule="auto"/>
              <w:jc w:val="both"/>
              <w:rPr>
                <w:rFonts w:ascii="Calibri" w:eastAsia="Times New Roman" w:hAnsi="Calibri" w:cs="Calibri"/>
              </w:rPr>
            </w:pPr>
          </w:p>
        </w:tc>
      </w:tr>
      <w:tr w:rsidR="00043ABD" w:rsidRPr="009D28A0" w14:paraId="006EF963" w14:textId="77777777" w:rsidTr="00A92F66">
        <w:tc>
          <w:tcPr>
            <w:tcW w:w="4431" w:type="dxa"/>
          </w:tcPr>
          <w:p w14:paraId="140DC723" w14:textId="77777777" w:rsidR="00043ABD" w:rsidRPr="009D28A0" w:rsidRDefault="00043ABD" w:rsidP="00043ABD">
            <w:pPr>
              <w:suppressAutoHyphens/>
              <w:spacing w:after="0" w:line="240" w:lineRule="auto"/>
              <w:jc w:val="both"/>
              <w:rPr>
                <w:rFonts w:ascii="Calibri" w:eastAsia="Times New Roman" w:hAnsi="Calibri" w:cs="Calibri"/>
              </w:rPr>
            </w:pPr>
          </w:p>
          <w:p w14:paraId="6F9D4BB9" w14:textId="77777777" w:rsidR="00043ABD" w:rsidRPr="009D28A0" w:rsidRDefault="00043ABD" w:rsidP="00043ABD">
            <w:pPr>
              <w:suppressAutoHyphens/>
              <w:spacing w:after="0" w:line="240" w:lineRule="auto"/>
              <w:jc w:val="center"/>
              <w:rPr>
                <w:rFonts w:ascii="Calibri" w:eastAsia="Times New Roman" w:hAnsi="Calibri" w:cs="Calibri"/>
              </w:rPr>
            </w:pPr>
            <w:r w:rsidRPr="009D28A0">
              <w:rPr>
                <w:rFonts w:ascii="Calibri" w:hAnsi="Calibri"/>
              </w:rPr>
              <w:t>HÄRMED FÖRESKRIVS FÖLJANDE:</w:t>
            </w:r>
          </w:p>
        </w:tc>
      </w:tr>
      <w:tr w:rsidR="00043ABD" w:rsidRPr="009D28A0" w14:paraId="17457CE6" w14:textId="77777777" w:rsidTr="00A92F66">
        <w:tc>
          <w:tcPr>
            <w:tcW w:w="4431" w:type="dxa"/>
          </w:tcPr>
          <w:p w14:paraId="3C620423"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1262176F" w14:textId="77777777" w:rsidTr="00A92F66">
        <w:tc>
          <w:tcPr>
            <w:tcW w:w="4431" w:type="dxa"/>
          </w:tcPr>
          <w:p w14:paraId="5FD53BC0"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1. Allmänna bestämmelser</w:t>
            </w:r>
          </w:p>
        </w:tc>
      </w:tr>
      <w:tr w:rsidR="00043ABD" w:rsidRPr="009D28A0" w14:paraId="53B54B88" w14:textId="77777777" w:rsidTr="00A92F66">
        <w:tc>
          <w:tcPr>
            <w:tcW w:w="4431" w:type="dxa"/>
          </w:tcPr>
          <w:p w14:paraId="5829B944"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07EF77B" w14:textId="77777777" w:rsidTr="00A92F66">
        <w:tc>
          <w:tcPr>
            <w:tcW w:w="4431" w:type="dxa"/>
          </w:tcPr>
          <w:p w14:paraId="6D1F7479"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 xml:space="preserve">Artikel 1. </w:t>
            </w:r>
            <w:r w:rsidRPr="009D28A0">
              <w:rPr>
                <w:rFonts w:ascii="Calibri" w:hAnsi="Calibri"/>
              </w:rPr>
              <w:t>Genom detta dekret införlivas</w:t>
            </w:r>
          </w:p>
          <w:p w14:paraId="6AC43E84"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(1) Delvis direktiv 2014/40/EU av den 3 april 2014 om tillnärmning av medlemsstaternas lagar och andra författningar om tillverkning, presentation och försäljning av tobaksvaror och relaterade produkter och om upphävande av direktiv 2001/37/EG.</w:t>
            </w:r>
          </w:p>
          <w:p w14:paraId="059F31D6" w14:textId="77777777" w:rsidR="00043ABD" w:rsidRPr="009D28A0" w:rsidRDefault="00043ABD" w:rsidP="00043ABD">
            <w:pPr>
              <w:suppressAutoHyphens/>
              <w:spacing w:after="0" w:line="240" w:lineRule="auto"/>
              <w:jc w:val="both"/>
              <w:rPr>
                <w:rFonts w:ascii="Calibri" w:eastAsia="Times New Roman" w:hAnsi="Calibri" w:cs="Calibri"/>
              </w:rPr>
            </w:pPr>
          </w:p>
          <w:p w14:paraId="4747972A"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lastRenderedPageBreak/>
              <w:t>(2) Kommissionens delegerade direktiv (EU) 2022/2100 av den 29 juni 2022 om ändring av Europaparlamentets och rådets direktiv 2014/40/EU vad gäller upphävande av vissa undantag för upphettade tobaksvaror.</w:t>
            </w:r>
          </w:p>
        </w:tc>
      </w:tr>
      <w:tr w:rsidR="00043ABD" w:rsidRPr="009D28A0" w14:paraId="22A38414" w14:textId="77777777" w:rsidTr="00A92F66">
        <w:tc>
          <w:tcPr>
            <w:tcW w:w="4431" w:type="dxa"/>
          </w:tcPr>
          <w:p w14:paraId="41E8FFA0"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E6CB2AD" w14:textId="77777777" w:rsidTr="00A92F66">
        <w:tc>
          <w:tcPr>
            <w:tcW w:w="4431" w:type="dxa"/>
          </w:tcPr>
          <w:p w14:paraId="760EBCC4"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2. Definitioner</w:t>
            </w:r>
          </w:p>
        </w:tc>
      </w:tr>
      <w:tr w:rsidR="00043ABD" w:rsidRPr="009D28A0" w14:paraId="50DCB32C" w14:textId="77777777" w:rsidTr="00A92F66">
        <w:tc>
          <w:tcPr>
            <w:tcW w:w="4431" w:type="dxa"/>
          </w:tcPr>
          <w:p w14:paraId="1B0F59E9"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b/>
              </w:rPr>
              <w:t>Artikel 2.</w:t>
            </w:r>
            <w:r w:rsidRPr="009D28A0">
              <w:rPr>
                <w:rFonts w:ascii="Calibri" w:hAnsi="Calibri"/>
              </w:rPr>
              <w:t xml:space="preserve"> För tillämpningen av denna förordning gäller följande:</w:t>
            </w:r>
          </w:p>
          <w:p w14:paraId="36F908E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 </w:t>
            </w:r>
            <w:r w:rsidRPr="009D28A0">
              <w:rPr>
                <w:rFonts w:ascii="Calibri" w:hAnsi="Calibri"/>
                <w:i/>
                <w:iCs/>
              </w:rPr>
              <w:t>tobak</w:t>
            </w:r>
            <w:r w:rsidRPr="009D28A0">
              <w:rPr>
                <w:rFonts w:ascii="Calibri" w:hAnsi="Calibri"/>
              </w:rPr>
              <w:t>: blad och andra naturliga bearbetade eller obearbetade delar av tobaksplantor, inbegripet expanderad och rekonstituerad tobak,</w:t>
            </w:r>
          </w:p>
          <w:p w14:paraId="0AD8384E"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 </w:t>
            </w:r>
            <w:r w:rsidRPr="009D28A0">
              <w:rPr>
                <w:rFonts w:ascii="Calibri" w:hAnsi="Calibri"/>
                <w:i/>
                <w:iCs/>
              </w:rPr>
              <w:t>tobaksprodukt</w:t>
            </w:r>
            <w:r w:rsidRPr="009D28A0">
              <w:rPr>
                <w:rFonts w:ascii="Calibri" w:hAnsi="Calibri"/>
              </w:rPr>
              <w:t>: en produkt som kan konsumeras och även delvis består av tobak, oavsett om den är genetiskt modifierad eller inte,</w:t>
            </w:r>
          </w:p>
          <w:p w14:paraId="23F4B166"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 </w:t>
            </w:r>
            <w:r w:rsidRPr="009D28A0">
              <w:rPr>
                <w:rFonts w:ascii="Calibri" w:hAnsi="Calibri"/>
                <w:i/>
                <w:iCs/>
              </w:rPr>
              <w:t>rökfri tobaksprodukt</w:t>
            </w:r>
            <w:r w:rsidRPr="009D28A0">
              <w:rPr>
                <w:rFonts w:ascii="Calibri" w:hAnsi="Calibri"/>
              </w:rPr>
              <w:t>:  tobaksvaror som inte inbegriper förbränningsprocesser, inbegripet tuggtobak, luktsnus och tobak för användning i munnen,</w:t>
            </w:r>
          </w:p>
          <w:p w14:paraId="7D465E35"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4) </w:t>
            </w:r>
            <w:r w:rsidRPr="009D28A0">
              <w:rPr>
                <w:rFonts w:ascii="Calibri" w:hAnsi="Calibri"/>
                <w:i/>
                <w:iCs/>
              </w:rPr>
              <w:t>tobaksprodukter för rökning</w:t>
            </w:r>
            <w:r w:rsidRPr="009D28A0">
              <w:rPr>
                <w:rFonts w:ascii="Calibri" w:hAnsi="Calibri"/>
              </w:rPr>
              <w:t>: en tobaksvara som inte är en rökfri tobaksvara,</w:t>
            </w:r>
          </w:p>
          <w:p w14:paraId="7EAFDAA0"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5) </w:t>
            </w:r>
            <w:r w:rsidRPr="009D28A0">
              <w:rPr>
                <w:rFonts w:ascii="Calibri" w:hAnsi="Calibri"/>
                <w:i/>
                <w:iCs/>
              </w:rPr>
              <w:t>piptobak</w:t>
            </w:r>
            <w:r w:rsidRPr="009D28A0">
              <w:rPr>
                <w:rFonts w:ascii="Calibri" w:hAnsi="Calibri"/>
              </w:rPr>
              <w:t>: tobak som uteslutande är avsedd att användas i pipa genom en förbränningsprocess,</w:t>
            </w:r>
          </w:p>
          <w:p w14:paraId="3B6322F6"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6) </w:t>
            </w:r>
            <w:r w:rsidRPr="009D28A0">
              <w:rPr>
                <w:rFonts w:ascii="Calibri" w:hAnsi="Calibri"/>
                <w:i/>
                <w:iCs/>
              </w:rPr>
              <w:t>rulltobak</w:t>
            </w:r>
            <w:r w:rsidRPr="009D28A0">
              <w:rPr>
                <w:rFonts w:ascii="Calibri" w:hAnsi="Calibri"/>
              </w:rPr>
              <w:t>: tobak som konsumenter eller återförsäljare kan använda för att framställa cigaretter,</w:t>
            </w:r>
          </w:p>
          <w:p w14:paraId="65411480"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7) </w:t>
            </w:r>
            <w:r w:rsidRPr="009D28A0">
              <w:rPr>
                <w:rFonts w:ascii="Calibri" w:hAnsi="Calibri"/>
                <w:i/>
                <w:iCs/>
              </w:rPr>
              <w:t>tuggtobak</w:t>
            </w:r>
            <w:r w:rsidRPr="009D28A0">
              <w:rPr>
                <w:rFonts w:ascii="Calibri" w:hAnsi="Calibri"/>
              </w:rPr>
              <w:t>: en rökfri tobaksvara som uteslutande är avsedd att tuggas,</w:t>
            </w:r>
          </w:p>
          <w:p w14:paraId="0CBC6A3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8) </w:t>
            </w:r>
            <w:r w:rsidRPr="009D28A0">
              <w:rPr>
                <w:rFonts w:ascii="Calibri" w:hAnsi="Calibri"/>
                <w:i/>
                <w:iCs/>
              </w:rPr>
              <w:t>luktsnus</w:t>
            </w:r>
            <w:r w:rsidRPr="009D28A0">
              <w:rPr>
                <w:rFonts w:ascii="Calibri" w:hAnsi="Calibri"/>
              </w:rPr>
              <w:t>:  en rökfri tobaksprodukt som kan konsumeras nasalt,</w:t>
            </w:r>
          </w:p>
          <w:p w14:paraId="334463A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9) </w:t>
            </w:r>
            <w:r w:rsidRPr="009D28A0">
              <w:rPr>
                <w:rFonts w:ascii="Calibri" w:hAnsi="Calibri"/>
                <w:i/>
                <w:iCs/>
              </w:rPr>
              <w:t>tobak för användning i munnen</w:t>
            </w:r>
            <w:r w:rsidRPr="009D28A0">
              <w:rPr>
                <w:rFonts w:ascii="Calibri" w:hAnsi="Calibri"/>
              </w:rPr>
              <w:t>: alla tobaksvaror för användning i munnen, utom sådana som är avsedda att inandas eller tuggas, som helt eller delvis består av tobak, i form av pulver, fina partiklar eller någon kombination av dessa, särskilt i portionspåsar eller porösa påsar,</w:t>
            </w:r>
          </w:p>
          <w:p w14:paraId="61B0C28E"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10) </w:t>
            </w:r>
            <w:r w:rsidRPr="009D28A0">
              <w:rPr>
                <w:rFonts w:ascii="Calibri" w:hAnsi="Calibri"/>
                <w:i/>
                <w:iCs/>
              </w:rPr>
              <w:t>cigarett</w:t>
            </w:r>
            <w:r w:rsidRPr="009D28A0">
              <w:rPr>
                <w:rFonts w:ascii="Calibri" w:hAnsi="Calibri"/>
              </w:rPr>
              <w:t>: en tobaksrulle som kan konsumeras genom en förbränningsprocess och som definieras närmare i artikel 5 i lagen av den 3 april 1997 om skattesystemet för tobaksvaror,</w:t>
            </w:r>
          </w:p>
          <w:p w14:paraId="7BD54EF3"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11) </w:t>
            </w:r>
            <w:r w:rsidRPr="009D28A0">
              <w:rPr>
                <w:rFonts w:ascii="Calibri" w:hAnsi="Calibri"/>
                <w:i/>
                <w:iCs/>
              </w:rPr>
              <w:t>cigarr</w:t>
            </w:r>
            <w:r w:rsidRPr="009D28A0">
              <w:rPr>
                <w:rFonts w:ascii="Calibri" w:hAnsi="Calibri"/>
              </w:rPr>
              <w:t>: en tobaksrulle som kan konsumeras genom en förbränningsprocess och som definieras närmare i artikel 4 i lagen av den 3 april 1997 om skattesystemet för tobaksvaror,</w:t>
            </w:r>
          </w:p>
          <w:p w14:paraId="4142CD38"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12) </w:t>
            </w:r>
            <w:r w:rsidRPr="009D28A0">
              <w:rPr>
                <w:rFonts w:ascii="Calibri" w:hAnsi="Calibri"/>
                <w:i/>
                <w:iCs/>
              </w:rPr>
              <w:t>cigarill</w:t>
            </w:r>
            <w:r w:rsidRPr="009D28A0">
              <w:rPr>
                <w:rFonts w:ascii="Calibri" w:hAnsi="Calibri"/>
              </w:rPr>
              <w:t>: en typ av liten cigarr, som definieras närmare i artikel 7 i den kungliga förordningen av den 27 januari 2009 om befrielse från importtullar och punktskatter för internationell passagerartrafik,</w:t>
            </w:r>
          </w:p>
          <w:p w14:paraId="3AC7AA72"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13) </w:t>
            </w:r>
            <w:r w:rsidRPr="009D28A0">
              <w:rPr>
                <w:rFonts w:ascii="Calibri" w:hAnsi="Calibri"/>
                <w:i/>
                <w:iCs/>
              </w:rPr>
              <w:t>vattenpipetobak</w:t>
            </w:r>
            <w:r w:rsidRPr="009D28A0">
              <w:rPr>
                <w:rFonts w:ascii="Calibri" w:hAnsi="Calibri"/>
              </w:rPr>
              <w:t>:  en tobaksprodukt som kan konsumeras med hjälp av en vattenpipa. Vid tillämpningen av detta dekret ska vattenpipetobak anses vara röktobak. En vara som kan användas både i en vattenpipa och som rulltobak anses vara rulltobak.</w:t>
            </w:r>
          </w:p>
          <w:p w14:paraId="18E2ADBC"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14) </w:t>
            </w:r>
            <w:r w:rsidRPr="009D28A0">
              <w:rPr>
                <w:rFonts w:ascii="Calibri" w:hAnsi="Calibri"/>
                <w:i/>
                <w:iCs/>
              </w:rPr>
              <w:t>ny tobaksprodukt</w:t>
            </w:r>
            <w:r w:rsidRPr="009D28A0">
              <w:rPr>
                <w:rFonts w:ascii="Calibri" w:hAnsi="Calibri"/>
              </w:rPr>
              <w:t>: en tobaksprodukt som</w:t>
            </w:r>
          </w:p>
          <w:p w14:paraId="0240450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a) inte omfattas av någon av följande kategorier: cigarett, rulltobak, piptobak, vattenpipetobak, cigarr, cigarill, tuggtobak, snus eller tobak för användning i munnen och</w:t>
            </w:r>
          </w:p>
          <w:p w14:paraId="76A5C056"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b) släpps ut på marknaden efter den 19 maj 2014,</w:t>
            </w:r>
          </w:p>
          <w:p w14:paraId="4FD0A16C"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15)</w:t>
            </w:r>
            <w:r w:rsidRPr="009D28A0">
              <w:rPr>
                <w:rFonts w:ascii="Times New Roman" w:hAnsi="Times New Roman"/>
                <w:sz w:val="20"/>
              </w:rPr>
              <w:t xml:space="preserve"> </w:t>
            </w:r>
            <w:r w:rsidRPr="009D28A0">
              <w:rPr>
                <w:rFonts w:ascii="Calibri" w:hAnsi="Calibri"/>
                <w:i/>
                <w:iCs/>
              </w:rPr>
              <w:t>upphettad tobaksprodukt</w:t>
            </w:r>
            <w:r w:rsidRPr="009D28A0">
              <w:rPr>
                <w:rFonts w:ascii="Calibri" w:hAnsi="Calibri"/>
              </w:rPr>
              <w:t>: en ny tobaksprodukt som hettas upp för att producera ett utsläpp som innehåller nikotin och andra kemikalier, som sedan andas in av användarna,</w:t>
            </w:r>
          </w:p>
          <w:p w14:paraId="17663881"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16) </w:t>
            </w:r>
            <w:r w:rsidRPr="009D28A0">
              <w:rPr>
                <w:rFonts w:ascii="Calibri" w:hAnsi="Calibri"/>
                <w:i/>
                <w:iCs/>
              </w:rPr>
              <w:t>örtprodukt för rökning</w:t>
            </w:r>
            <w:r w:rsidRPr="009D28A0">
              <w:rPr>
                <w:rFonts w:ascii="Calibri" w:hAnsi="Calibri"/>
              </w:rPr>
              <w:t xml:space="preserve">: en produkt baserad på växter, aromatiska växter eller frukter som inte innehåller tobak och som kan konsumeras genom förbränning eller uppvärmning, </w:t>
            </w:r>
          </w:p>
          <w:p w14:paraId="57866442"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17) </w:t>
            </w:r>
            <w:r w:rsidRPr="009D28A0">
              <w:rPr>
                <w:rFonts w:ascii="Calibri" w:hAnsi="Calibri"/>
                <w:i/>
                <w:iCs/>
              </w:rPr>
              <w:t>anordning</w:t>
            </w:r>
            <w:r w:rsidRPr="009D28A0">
              <w:rPr>
                <w:rFonts w:ascii="Calibri" w:hAnsi="Calibri"/>
              </w:rPr>
              <w:t>: alla produkter som är nödvändiga för konsumtion och/eller användning av en produkt,</w:t>
            </w:r>
          </w:p>
          <w:p w14:paraId="59C10CB8"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18) </w:t>
            </w:r>
            <w:r w:rsidRPr="009D28A0">
              <w:rPr>
                <w:rFonts w:ascii="Calibri" w:hAnsi="Calibri"/>
                <w:i/>
                <w:iCs/>
              </w:rPr>
              <w:t>produkt</w:t>
            </w:r>
            <w:r w:rsidRPr="009D28A0">
              <w:rPr>
                <w:rFonts w:ascii="Calibri" w:hAnsi="Calibri"/>
              </w:rPr>
              <w:t>: tobaksprodukter och örtprodukter för rökning,</w:t>
            </w:r>
          </w:p>
          <w:p w14:paraId="5E11D96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19) </w:t>
            </w:r>
            <w:r w:rsidRPr="009D28A0">
              <w:rPr>
                <w:rFonts w:ascii="Calibri" w:hAnsi="Calibri"/>
                <w:i/>
                <w:iCs/>
              </w:rPr>
              <w:t>ingrediens</w:t>
            </w:r>
            <w:r w:rsidRPr="009D28A0">
              <w:rPr>
                <w:rFonts w:ascii="Calibri" w:hAnsi="Calibri"/>
              </w:rPr>
              <w:t>: tobak, tillsats samt andra ämnen eller beståndsdelar i en produkt, inklusive papper, filter, bläck, kapslar och lim,</w:t>
            </w:r>
          </w:p>
          <w:p w14:paraId="6DCDB667"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20) </w:t>
            </w:r>
            <w:r w:rsidRPr="009D28A0">
              <w:rPr>
                <w:rFonts w:ascii="Calibri" w:hAnsi="Calibri"/>
                <w:i/>
                <w:iCs/>
              </w:rPr>
              <w:t>nikotin</w:t>
            </w:r>
            <w:r w:rsidRPr="009D28A0">
              <w:rPr>
                <w:rFonts w:ascii="Calibri" w:hAnsi="Calibri"/>
              </w:rPr>
              <w:t>: nikotinalkaloider,</w:t>
            </w:r>
          </w:p>
          <w:p w14:paraId="07DB8EE6"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21) </w:t>
            </w:r>
            <w:r w:rsidRPr="009D28A0">
              <w:rPr>
                <w:rFonts w:ascii="Calibri" w:hAnsi="Calibri"/>
                <w:i/>
                <w:iCs/>
              </w:rPr>
              <w:t>tjära</w:t>
            </w:r>
            <w:r w:rsidRPr="009D28A0">
              <w:rPr>
                <w:rFonts w:ascii="Calibri" w:hAnsi="Calibri"/>
              </w:rPr>
              <w:t>: vattenfritt och nikotinfritt rått rökkondensat,</w:t>
            </w:r>
          </w:p>
          <w:p w14:paraId="0D05BC3D"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lastRenderedPageBreak/>
              <w:t xml:space="preserve">  22) </w:t>
            </w:r>
            <w:r w:rsidRPr="009D28A0">
              <w:rPr>
                <w:rFonts w:ascii="Calibri" w:hAnsi="Calibri"/>
                <w:i/>
                <w:iCs/>
              </w:rPr>
              <w:t>utsläpp</w:t>
            </w:r>
            <w:r w:rsidRPr="009D28A0">
              <w:rPr>
                <w:rFonts w:ascii="Calibri" w:hAnsi="Calibri"/>
              </w:rPr>
              <w:t>: ämnen som frigörs när en produkt används för det avsedda ändamålet, t.ex. ämnen som ingår i rök eller som släpps ut vid användning av en rökfri tobaksvara,</w:t>
            </w:r>
          </w:p>
          <w:p w14:paraId="301329DB"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23) </w:t>
            </w:r>
            <w:r w:rsidRPr="009D28A0">
              <w:rPr>
                <w:rFonts w:ascii="Calibri" w:hAnsi="Calibri"/>
                <w:i/>
                <w:iCs/>
              </w:rPr>
              <w:t>gränsvärde eller högsta utsläppsnivå</w:t>
            </w:r>
            <w:r w:rsidRPr="009D28A0">
              <w:rPr>
                <w:rFonts w:ascii="Calibri" w:hAnsi="Calibri"/>
              </w:rPr>
              <w:t>: den högsta halten eller utsläppen, inklusive noll, av ett ämne som ingår i en tobaksvara, mätt i milligram,</w:t>
            </w:r>
          </w:p>
          <w:p w14:paraId="6A398B26"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24) </w:t>
            </w:r>
            <w:r w:rsidRPr="009D28A0">
              <w:rPr>
                <w:rFonts w:ascii="Calibri" w:hAnsi="Calibri"/>
                <w:i/>
                <w:iCs/>
              </w:rPr>
              <w:t>tillsats</w:t>
            </w:r>
            <w:r w:rsidRPr="009D28A0">
              <w:rPr>
                <w:rFonts w:ascii="Calibri" w:hAnsi="Calibri"/>
              </w:rPr>
              <w:t>: ett annat ämne än tobak som tillsätts en produkt, dess styckförpackning eller någon yttre förpackning,</w:t>
            </w:r>
          </w:p>
          <w:p w14:paraId="3C9C33C8"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25) </w:t>
            </w:r>
            <w:r w:rsidRPr="009D28A0">
              <w:rPr>
                <w:rFonts w:ascii="Calibri" w:hAnsi="Calibri"/>
                <w:i/>
                <w:iCs/>
              </w:rPr>
              <w:t>arom</w:t>
            </w:r>
            <w:r w:rsidRPr="009D28A0">
              <w:rPr>
                <w:rFonts w:ascii="Calibri" w:hAnsi="Calibri"/>
              </w:rPr>
              <w:t>: en tillsats som ger lukt och/eller smak,</w:t>
            </w:r>
          </w:p>
          <w:p w14:paraId="4F7B469D" w14:textId="6B4894F5"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26) </w:t>
            </w:r>
            <w:r w:rsidRPr="009D28A0">
              <w:rPr>
                <w:rFonts w:ascii="Calibri" w:hAnsi="Calibri"/>
                <w:i/>
                <w:iCs/>
              </w:rPr>
              <w:t>karakteristisk arom</w:t>
            </w:r>
            <w:r w:rsidRPr="009D28A0">
              <w:rPr>
                <w:rFonts w:ascii="Calibri" w:hAnsi="Calibri"/>
              </w:rPr>
              <w:t>: en tydligt identifierbar lukt eller smak av annan än tobak, med ursprung i en tillsats eller kombination av tillsatser, inklusive frukt, kryddor, aromatiska växter, alkohol, konfekt, mentol eller vanilj (icke uttömmande förteckning), som kan identifieras före eller under konsumtionen av produkten,</w:t>
            </w:r>
          </w:p>
          <w:p w14:paraId="02315825"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27°</w:t>
            </w:r>
            <w:r w:rsidRPr="009D28A0">
              <w:rPr>
                <w:rFonts w:ascii="Times New Roman" w:hAnsi="Times New Roman"/>
                <w:sz w:val="20"/>
              </w:rPr>
              <w:t xml:space="preserve"> </w:t>
            </w:r>
            <w:r w:rsidRPr="009D28A0">
              <w:rPr>
                <w:rFonts w:ascii="Calibri" w:hAnsi="Calibri"/>
                <w:i/>
                <w:iCs/>
              </w:rPr>
              <w:t>CMR</w:t>
            </w:r>
            <w:r w:rsidRPr="009D28A0">
              <w:rPr>
                <w:rFonts w:ascii="Calibri" w:hAnsi="Calibri"/>
              </w:rPr>
              <w:t>: cancerframkallande, mutagena och reproduktionstoxiska,</w:t>
            </w:r>
          </w:p>
          <w:p w14:paraId="3A0F3FFC"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28) </w:t>
            </w:r>
            <w:r w:rsidRPr="009D28A0">
              <w:rPr>
                <w:rFonts w:ascii="Calibri" w:hAnsi="Calibri"/>
                <w:i/>
                <w:iCs/>
              </w:rPr>
              <w:t>beroendeframkallande egenskaper</w:t>
            </w:r>
            <w:r w:rsidRPr="009D28A0">
              <w:rPr>
                <w:rFonts w:ascii="Calibri" w:hAnsi="Calibri"/>
              </w:rPr>
              <w:t>: den farmakologiska potentialen hos en substans att skapa beroende, ett tillstånd som förändrar en individs förmåga att kontrollera sitt beteende, oftast genom att inducera en belöningseffekt eller en minskning av abstinenssymptomen, eller båda delar,</w:t>
            </w:r>
          </w:p>
          <w:p w14:paraId="76167765"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29) </w:t>
            </w:r>
            <w:r w:rsidRPr="009D28A0">
              <w:rPr>
                <w:rFonts w:ascii="Calibri" w:hAnsi="Calibri"/>
                <w:i/>
                <w:iCs/>
              </w:rPr>
              <w:t>toxicitet</w:t>
            </w:r>
            <w:r w:rsidRPr="009D28A0">
              <w:rPr>
                <w:rFonts w:ascii="Calibri" w:hAnsi="Calibri"/>
              </w:rPr>
              <w:t>: det utsträckning ett ämne kan ha skadliga effekter på människoorganismen, inbegripet effekter som uppstår över tid, vanligtvis på grund av upprepad eller kontinuerlig konsumtion eller exponering,</w:t>
            </w:r>
          </w:p>
          <w:p w14:paraId="56EF4E28"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30) </w:t>
            </w:r>
            <w:r w:rsidRPr="009D28A0">
              <w:rPr>
                <w:rFonts w:ascii="Calibri" w:hAnsi="Calibri"/>
                <w:i/>
                <w:iCs/>
              </w:rPr>
              <w:t>yttre förpackning</w:t>
            </w:r>
            <w:r w:rsidRPr="009D28A0">
              <w:rPr>
                <w:rFonts w:ascii="Calibri" w:hAnsi="Calibri"/>
              </w:rPr>
              <w:t>: all slags förpackning i vilken produkterna släpps ut på marknaden, inbegripet en styckförpackning eller en uppsättning styckförpackningar. Ytterligare genomskinliga omslag betraktas inte som yttre förpackningar,</w:t>
            </w:r>
          </w:p>
          <w:p w14:paraId="35964719"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31) </w:t>
            </w:r>
            <w:r w:rsidRPr="009D28A0">
              <w:rPr>
                <w:rFonts w:ascii="Calibri" w:hAnsi="Calibri"/>
                <w:i/>
                <w:iCs/>
              </w:rPr>
              <w:t>styckförpackning</w:t>
            </w:r>
            <w:r w:rsidRPr="009D28A0">
              <w:rPr>
                <w:rFonts w:ascii="Calibri" w:hAnsi="Calibri"/>
              </w:rPr>
              <w:t>: den minsta enskilda förpackningen för en produkt som släpps ut på marknaden,</w:t>
            </w:r>
          </w:p>
          <w:p w14:paraId="61325981"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32) </w:t>
            </w:r>
            <w:r w:rsidRPr="009D28A0">
              <w:rPr>
                <w:rFonts w:ascii="Calibri" w:hAnsi="Calibri"/>
                <w:i/>
                <w:iCs/>
              </w:rPr>
              <w:t>påse</w:t>
            </w:r>
            <w:r w:rsidRPr="009D28A0">
              <w:rPr>
                <w:rFonts w:ascii="Calibri" w:hAnsi="Calibri"/>
              </w:rPr>
              <w:t>: en styckförpackning med rulltobak, antingen som en rektangulär ficka med en flik som täcker öppningen eller som en ficka med platt botten,</w:t>
            </w:r>
          </w:p>
          <w:p w14:paraId="63A09861"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33) </w:t>
            </w:r>
            <w:r w:rsidRPr="009D28A0">
              <w:rPr>
                <w:rFonts w:ascii="Calibri" w:hAnsi="Calibri"/>
                <w:i/>
                <w:iCs/>
              </w:rPr>
              <w:t>hälsovarning</w:t>
            </w:r>
            <w:r w:rsidRPr="009D28A0">
              <w:rPr>
                <w:rFonts w:ascii="Calibri" w:hAnsi="Calibri"/>
              </w:rPr>
              <w:t>: en varning om skadliga effekter på människors hälsa från en produkt eller andra oavsiktliga konsekvenser av dess konsumtion, inklusive varningsmeddelanden, kombinerade hälsovarningar, allmänna varningar och informationsmeddelanden,</w:t>
            </w:r>
          </w:p>
          <w:p w14:paraId="2302BE5F"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34) </w:t>
            </w:r>
            <w:r w:rsidRPr="009D28A0">
              <w:rPr>
                <w:rFonts w:ascii="Calibri" w:hAnsi="Calibri"/>
                <w:i/>
                <w:iCs/>
              </w:rPr>
              <w:t>kombinerad hälsovarning</w:t>
            </w:r>
            <w:r w:rsidRPr="009D28A0">
              <w:rPr>
                <w:rFonts w:ascii="Calibri" w:hAnsi="Calibri"/>
              </w:rPr>
              <w:t>: en hälsovarning som kombinerar ett varningsmeddelande och ett motsvarande foto eller illustration,</w:t>
            </w:r>
          </w:p>
          <w:p w14:paraId="3B4E0307"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35) </w:t>
            </w:r>
            <w:r w:rsidRPr="009D28A0">
              <w:rPr>
                <w:rFonts w:ascii="Calibri" w:hAnsi="Calibri"/>
                <w:i/>
                <w:iCs/>
              </w:rPr>
              <w:t>distansförsäljning</w:t>
            </w:r>
            <w:r w:rsidRPr="009D28A0">
              <w:rPr>
                <w:rFonts w:ascii="Calibri" w:hAnsi="Calibri"/>
              </w:rPr>
              <w:t>: all försäljning som sker inom ramen för ett organiserat distansförsäljningssystem, utan att säljaren och köparen samtidigt är fysiskt närvarande, med uteslutande användning av en eller flera tekniker för distanskommunikation, fram till och med den tidpunkt då försäljningen slutförs.</w:t>
            </w:r>
          </w:p>
          <w:p w14:paraId="6145727E"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36) </w:t>
            </w:r>
            <w:r w:rsidRPr="009D28A0">
              <w:rPr>
                <w:rFonts w:ascii="Calibri" w:hAnsi="Calibri"/>
                <w:i/>
                <w:iCs/>
              </w:rPr>
              <w:t>gränsöverskridande distansförsäljning</w:t>
            </w:r>
            <w:r w:rsidRPr="009D28A0">
              <w:rPr>
                <w:rFonts w:ascii="Calibri" w:hAnsi="Calibri"/>
              </w:rPr>
              <w:t>: distansförsäljning till konsumenter om konsumenten vid tidpunkten för beställningen av produkten från detaljhandlaren befinner sig i en annan medlemsstat än den medlemsstat eller det tredjeland där återförsäljaren är etablerad. en återförsäljare ska anses vara etablerad i en medlemsstat:</w:t>
            </w:r>
          </w:p>
          <w:p w14:paraId="60654F7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a) för fysiska personer: om företaget har sitt säte i den medlemsstaten,</w:t>
            </w:r>
          </w:p>
          <w:p w14:paraId="29A5F5F3"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b) i övriga fall: om dess säte, huvudkontor eller verksamhetsställe, inkluderat en filial, agentur eller något annat etableringsställe, är beläget i den medlemsstaten,</w:t>
            </w:r>
          </w:p>
          <w:p w14:paraId="5ED938D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37) </w:t>
            </w:r>
            <w:r w:rsidRPr="009D28A0">
              <w:rPr>
                <w:rFonts w:ascii="Calibri" w:hAnsi="Calibri"/>
                <w:i/>
                <w:iCs/>
              </w:rPr>
              <w:t>konsument</w:t>
            </w:r>
            <w:r w:rsidRPr="009D28A0">
              <w:rPr>
                <w:rFonts w:ascii="Calibri" w:hAnsi="Calibri"/>
              </w:rPr>
              <w:t>: en fysisk person som handlar för ändamål som inte omfattas av dennes kommersiella eller yrkesmässiga verksamhet,</w:t>
            </w:r>
          </w:p>
          <w:p w14:paraId="4E65F6C7"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38) </w:t>
            </w:r>
            <w:r w:rsidRPr="009D28A0">
              <w:rPr>
                <w:rFonts w:ascii="Calibri" w:hAnsi="Calibri"/>
                <w:i/>
                <w:iCs/>
              </w:rPr>
              <w:t>tillverkare</w:t>
            </w:r>
            <w:r w:rsidRPr="009D28A0">
              <w:rPr>
                <w:rFonts w:ascii="Calibri" w:hAnsi="Calibri"/>
              </w:rPr>
              <w:t>: varje fysisk eller juridisk person som tillverkar en produkt eller låter utforma eller tillverka en produkt och som saluför produkten under eget namn eller varumärke,</w:t>
            </w:r>
          </w:p>
          <w:p w14:paraId="38B9215C"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39) </w:t>
            </w:r>
            <w:r w:rsidRPr="009D28A0">
              <w:rPr>
                <w:rFonts w:ascii="Calibri" w:hAnsi="Calibri"/>
                <w:i/>
                <w:iCs/>
              </w:rPr>
              <w:t>import av produkter</w:t>
            </w:r>
            <w:r w:rsidRPr="009D28A0">
              <w:rPr>
                <w:rFonts w:ascii="Calibri" w:hAnsi="Calibri"/>
              </w:rPr>
              <w:t>: införsel till Europeiska unionens territorium av produkter som vid tidpunkten för införseln inte hänförs till ett suspensivt tullförfarande eller arrangemang, samt avlägsnande av produkter från ett suspensivt tullförfarande eller arrangemang,</w:t>
            </w:r>
          </w:p>
          <w:p w14:paraId="3141A3EF"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lastRenderedPageBreak/>
              <w:t xml:space="preserve">  40) </w:t>
            </w:r>
            <w:r w:rsidRPr="009D28A0">
              <w:rPr>
                <w:rFonts w:ascii="Calibri" w:hAnsi="Calibri"/>
                <w:i/>
                <w:iCs/>
              </w:rPr>
              <w:t>importör</w:t>
            </w:r>
            <w:r w:rsidRPr="009D28A0">
              <w:rPr>
                <w:rFonts w:ascii="Calibri" w:hAnsi="Calibri"/>
              </w:rPr>
              <w:t>: ägaren eller en person som har rätt att förfoga över produkter som förts in från Europeiska unionen,</w:t>
            </w:r>
          </w:p>
          <w:p w14:paraId="3E3AD5AD" w14:textId="77777777" w:rsidR="00043ABD" w:rsidRPr="009D28A0"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41) </w:t>
            </w:r>
            <w:r w:rsidRPr="009D28A0">
              <w:rPr>
                <w:rFonts w:ascii="Calibri" w:hAnsi="Calibri"/>
                <w:i/>
                <w:iCs/>
              </w:rPr>
              <w:t>importör till Belgien</w:t>
            </w:r>
            <w:r w:rsidRPr="009D28A0">
              <w:rPr>
                <w:rFonts w:ascii="Calibri" w:hAnsi="Calibri"/>
              </w:rPr>
              <w:t>: ägare eller den person som har rätt att avyttra de produkter som förs in i Belgien,</w:t>
            </w:r>
          </w:p>
          <w:p w14:paraId="6E7E0ED7"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42) </w:t>
            </w:r>
            <w:r w:rsidRPr="009D28A0">
              <w:rPr>
                <w:rFonts w:ascii="Calibri" w:hAnsi="Calibri"/>
                <w:i/>
                <w:iCs/>
              </w:rPr>
              <w:t>utsläppande på marknaden</w:t>
            </w:r>
            <w:r w:rsidRPr="009D28A0">
              <w:rPr>
                <w:rFonts w:ascii="Calibri" w:hAnsi="Calibri"/>
              </w:rPr>
              <w:t>: göra produkter, oavsett tillverkningsort, tillgängliga för konsumenter i unionen, mot ersättning eller på annat sätt, inbegripet genom distansförsäljning. Vid gränsöverskridande distansförsäljning ska produkten anses ha släppts ut på marknaden i den medlemsstat där konsumenten är belägen,</w:t>
            </w:r>
          </w:p>
          <w:p w14:paraId="750C538D" w14:textId="785EE84D"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43) </w:t>
            </w:r>
            <w:r w:rsidRPr="009D28A0">
              <w:rPr>
                <w:rFonts w:ascii="Calibri" w:hAnsi="Calibri"/>
                <w:i/>
                <w:iCs/>
              </w:rPr>
              <w:t>detaljhandel</w:t>
            </w:r>
            <w:r w:rsidRPr="009D28A0">
              <w:rPr>
                <w:rFonts w:ascii="Calibri" w:hAnsi="Calibri"/>
              </w:rPr>
              <w:t>: försäljningsställe där produkter släpps ut på marknaden, inbegripet av en fysisk person.</w:t>
            </w:r>
          </w:p>
          <w:p w14:paraId="74EE3564"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rPr>
              <w:t xml:space="preserve">  44) </w:t>
            </w:r>
            <w:r w:rsidRPr="009D28A0">
              <w:rPr>
                <w:rFonts w:ascii="Calibri" w:hAnsi="Calibri"/>
                <w:i/>
                <w:iCs/>
              </w:rPr>
              <w:t>tjänst</w:t>
            </w:r>
            <w:r w:rsidRPr="009D28A0">
              <w:rPr>
                <w:rFonts w:ascii="Calibri" w:hAnsi="Calibri"/>
              </w:rPr>
              <w:t>: generaldirektoratet för djur, växter och livsmedel vid den federala offentliga myndigheten för folkhälsa, livsmedelskedjans säkerhet och miljö.</w:t>
            </w:r>
          </w:p>
          <w:p w14:paraId="71833031" w14:textId="77777777" w:rsidR="00043ABD" w:rsidRPr="009D28A0" w:rsidRDefault="00043ABD" w:rsidP="00043ABD">
            <w:pPr>
              <w:suppressAutoHyphens/>
              <w:spacing w:after="0" w:line="240" w:lineRule="auto"/>
              <w:jc w:val="both"/>
              <w:rPr>
                <w:rFonts w:ascii="Calibri" w:eastAsia="Times New Roman" w:hAnsi="Calibri" w:cs="Calibri"/>
                <w:sz w:val="24"/>
                <w:szCs w:val="24"/>
              </w:rPr>
            </w:pPr>
            <w:r w:rsidRPr="009D28A0">
              <w:rPr>
                <w:rFonts w:ascii="Calibri" w:hAnsi="Calibri"/>
              </w:rPr>
              <w:t xml:space="preserve">  45) Minister: Minister för folkhälsa. </w:t>
            </w:r>
          </w:p>
        </w:tc>
      </w:tr>
      <w:tr w:rsidR="00043ABD" w:rsidRPr="009D28A0" w14:paraId="502134ED" w14:textId="77777777" w:rsidTr="00A92F66">
        <w:tc>
          <w:tcPr>
            <w:tcW w:w="4431" w:type="dxa"/>
          </w:tcPr>
          <w:p w14:paraId="3DD28410"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lastRenderedPageBreak/>
              <w:t>KAPITEL 3. Utsläppsnivån</w:t>
            </w:r>
          </w:p>
        </w:tc>
      </w:tr>
      <w:tr w:rsidR="00043ABD" w:rsidRPr="009D28A0" w14:paraId="0B05494E" w14:textId="77777777" w:rsidTr="00A92F66">
        <w:tc>
          <w:tcPr>
            <w:tcW w:w="4431" w:type="dxa"/>
          </w:tcPr>
          <w:p w14:paraId="24F83D25"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Artikel 3.</w:t>
            </w:r>
            <w:r w:rsidRPr="009D28A0">
              <w:rPr>
                <w:rFonts w:ascii="Calibri" w:hAnsi="Calibri"/>
              </w:rPr>
              <w:t xml:space="preserve"> 1 § De högsta utsläppsnivåerna för cigaretter som släpps ut på marknaden eller tillverkas är:</w:t>
            </w:r>
          </w:p>
          <w:p w14:paraId="624E6E22"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1) 10 mg tjära per cigarett,</w:t>
            </w:r>
          </w:p>
          <w:p w14:paraId="75E4094E"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2) 1 mg nikotin per cigarett,</w:t>
            </w:r>
          </w:p>
          <w:p w14:paraId="4845F84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3) 10 mg kolmonoxid per cigarett.</w:t>
            </w:r>
          </w:p>
          <w:p w14:paraId="3F53DC05" w14:textId="65C8ECB1"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2 § Utsläppen av tjära, nikotin och kolmonoxid från cigaretter mäts utifrån standarden ISO 4387 för tjära, ISO 10315 för nikotin och ISO 8454 för kolmonoxid.</w:t>
            </w:r>
          </w:p>
          <w:p w14:paraId="0F2C862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Noggrannheten hos mätningar av tjära, nikotin och kolmonoxid fastställs i enlighet med standarden ISO 8243.</w:t>
            </w:r>
          </w:p>
          <w:p w14:paraId="3A246ECC"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3 § De mätningar som avses i punkt 2 ska kontrolleras av laboratorier som godkänts och övervakas av tjänsten. Dessa laboratorier tillhör inte tobaksindustrin och kontrolleras inte direkt eller indirekt av den senare.</w:t>
            </w:r>
          </w:p>
          <w:p w14:paraId="22BB6B04"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Tjänsten ska överlämna en förteckning över godkända laboratorier till Europeiska kommissionen, med angivande av de kriterier som används för godkännande och de metoder för övervakning som används, och ska uppdatera denna förteckning vid eventuella ändringar.</w:t>
            </w:r>
          </w:p>
        </w:tc>
      </w:tr>
      <w:tr w:rsidR="00043ABD" w:rsidRPr="009D28A0" w14:paraId="16B6E5E2" w14:textId="77777777" w:rsidTr="00A92F66">
        <w:tc>
          <w:tcPr>
            <w:tcW w:w="4431" w:type="dxa"/>
          </w:tcPr>
          <w:p w14:paraId="64D9E86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4. Anmälan</w:t>
            </w:r>
          </w:p>
        </w:tc>
      </w:tr>
      <w:tr w:rsidR="00043ABD" w:rsidRPr="009D28A0" w14:paraId="03C2DBAC" w14:textId="77777777" w:rsidTr="00A92F66">
        <w:tc>
          <w:tcPr>
            <w:tcW w:w="4431" w:type="dxa"/>
          </w:tcPr>
          <w:p w14:paraId="019DD6BD"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b/>
              </w:rPr>
              <w:t>Artikel 4.</w:t>
            </w:r>
            <w:r w:rsidRPr="009D28A0">
              <w:rPr>
                <w:rFonts w:ascii="Calibri" w:hAnsi="Calibri"/>
              </w:rPr>
              <w:t xml:space="preserve"> 1 § Utsläppande på marknaden av produkter och anordningar, med undantag av pipor och vattenpipor, ska anmälas till tjänsten. Tillverkaren, importören eller importören i Belgien ska, om de två första inte har sitt säte i Belgien och inte har anmält produkten, lämna in en anmälan till tjänsten för varje produkt och anordning som den avser att släppa ut på marknaden.</w:t>
            </w:r>
          </w:p>
          <w:p w14:paraId="1F43B6A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Denna anmälan ska lämnas in i elektronisk form sex månader före det planerade datumet för utsläppande på marknaden.</w:t>
            </w:r>
          </w:p>
        </w:tc>
      </w:tr>
      <w:tr w:rsidR="00043ABD" w:rsidRPr="009D28A0" w14:paraId="60A53FEF" w14:textId="77777777" w:rsidTr="00A92F66">
        <w:tc>
          <w:tcPr>
            <w:tcW w:w="4431" w:type="dxa"/>
          </w:tcPr>
          <w:p w14:paraId="6571FA89"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2 § Innan uppgifter överförs till medlemsstaterna i enlighet med denna artikel för första gången ska tillverkaren eller importören i Belgien begära ett identifikationsnummer (leverantörs-ID) som genereras av operatören vid det gemensamma införselstället. Tillverkaren, importören eller importören i Belgien ska på begäran lämna in ett dokument i vilket företaget identifieras och dess verksamhet är bestyrkt i enlighet med belgisk lagstiftning. Leverantörens identifikationsnummer ska användas för alla efterföljande sändningar och vid eventuell efterföljande korrespondens.</w:t>
            </w:r>
          </w:p>
        </w:tc>
      </w:tr>
      <w:tr w:rsidR="00043ABD" w:rsidRPr="009D28A0" w14:paraId="612B7127" w14:textId="77777777" w:rsidTr="00A92F66">
        <w:tc>
          <w:tcPr>
            <w:tcW w:w="4431" w:type="dxa"/>
          </w:tcPr>
          <w:p w14:paraId="3E929408"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3 § Utifrån det leverantörs-ID som avses i punkt 2 ska tillverkaren, importören eller importören i Belgien tilldela varje produkt eller produkt ett identifikationsnummer (produkt-ID).</w:t>
            </w:r>
          </w:p>
          <w:p w14:paraId="1845D971"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Vid överföring av information om produkter med samma sammansättning och presentation ska tillverkare och importörer i möjligaste mån använda samma produkt-ID, särskilt när uppgifter överförs av olika medlemmar i ett företagskluster. Denna bestämmelse gäller oavsett märke, undertyp och antal marknader där dessa produkter är placerade.</w:t>
            </w:r>
          </w:p>
          <w:p w14:paraId="4AB3720E"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lastRenderedPageBreak/>
              <w:t xml:space="preserve">   Om tillverkaren, importören eller importören i Belgien inte kan garantera att samma produkt-ID används för produkter med samma sammansättning och presentation, ska de i möjligaste mån tillhandahålla de olika produkt-ID som tilldelats dessa produkter.</w:t>
            </w:r>
          </w:p>
        </w:tc>
      </w:tr>
      <w:tr w:rsidR="00043ABD" w:rsidRPr="009D28A0" w14:paraId="54178AE3" w14:textId="77777777" w:rsidTr="00A92F66">
        <w:tc>
          <w:tcPr>
            <w:tcW w:w="4431" w:type="dxa"/>
          </w:tcPr>
          <w:p w14:paraId="5AA0DEDA"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lastRenderedPageBreak/>
              <w:t>4 §  Produktanmälan ska innehålla minst följande uppgifter per märke och typ:</w:t>
            </w:r>
          </w:p>
          <w:p w14:paraId="68922A6F"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 en förteckning över alla ingredienser, tillsammans med deras kvantiteter, som använts vid tillverkningen av dessa produkter, i fallande ordning efter varje ingrediens vikt,</w:t>
            </w:r>
          </w:p>
          <w:p w14:paraId="4A72CAFA" w14:textId="77777777" w:rsidR="00043ABD" w:rsidRPr="009D28A0"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2) de utsläppsnivåer som avses i artikel 3.1,</w:t>
            </w:r>
          </w:p>
          <w:p w14:paraId="5CAF9927"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3) När sådana uppgifter finns tillgängliga, information om andra utsläpp och deras nivåer,</w:t>
            </w:r>
          </w:p>
          <w:p w14:paraId="57935518"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4) märkning,</w:t>
            </w:r>
          </w:p>
          <w:p w14:paraId="4A345116"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5) Namn och kontaktuppgifter för tillverkaren, importören och, i förekommande fall, importören i Belgien.</w:t>
            </w:r>
          </w:p>
        </w:tc>
      </w:tr>
      <w:tr w:rsidR="00043ABD" w:rsidRPr="009D28A0" w14:paraId="755A8DAE" w14:textId="77777777" w:rsidTr="00A92F66">
        <w:tc>
          <w:tcPr>
            <w:tcW w:w="4431" w:type="dxa"/>
          </w:tcPr>
          <w:p w14:paraId="263814C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5 § Anmälan av anordningar ska innehålla åtminstone följande information per märke och typ:</w:t>
            </w:r>
          </w:p>
          <w:p w14:paraId="50813EB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 en beskrivning av delarna,</w:t>
            </w:r>
          </w:p>
          <w:p w14:paraId="094F4C45"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2) anvisningar för användning,</w:t>
            </w:r>
          </w:p>
          <w:p w14:paraId="422DB47B"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3) ett datablad, </w:t>
            </w:r>
          </w:p>
          <w:p w14:paraId="6E719C1C"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4) en bild på anordningen och förpackningen,</w:t>
            </w:r>
          </w:p>
          <w:p w14:paraId="177EDEAD"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5) Information om den typ av produkt som får konsumeras, </w:t>
            </w:r>
          </w:p>
          <w:p w14:paraId="79315A1A"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6) Namn och kontaktuppgifter för tillverkaren, importören och, i förekommande fall, importören i Belgien.</w:t>
            </w:r>
          </w:p>
        </w:tc>
      </w:tr>
      <w:tr w:rsidR="00043ABD" w:rsidRPr="009D28A0" w14:paraId="676BB3D5" w14:textId="77777777" w:rsidTr="00A92F66">
        <w:tc>
          <w:tcPr>
            <w:tcW w:w="4431" w:type="dxa"/>
          </w:tcPr>
          <w:p w14:paraId="2DFA3E54"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6 § Anmälan av nya tobaksprodukten ska, utöver de uppgifter som avses i punkt 4 i denna artikel, innehålla åtminstone följande uppgifter per märke och typ:</w:t>
            </w:r>
          </w:p>
          <w:p w14:paraId="7435E891"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1) en detaljerad beskrivning av den nya tobaksprodukten,</w:t>
            </w:r>
          </w:p>
          <w:p w14:paraId="5327EA87"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2) anvisningar för användning,</w:t>
            </w:r>
          </w:p>
          <w:p w14:paraId="3D5D0D97"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3) en bild av produkten,</w:t>
            </w:r>
          </w:p>
          <w:p w14:paraId="35DF3DD0"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4)</w:t>
            </w:r>
            <w:r w:rsidRPr="009D28A0">
              <w:rPr>
                <w:rFonts w:ascii="Times New Roman" w:hAnsi="Times New Roman"/>
                <w:sz w:val="20"/>
              </w:rPr>
              <w:t xml:space="preserve"> </w:t>
            </w:r>
            <w:r w:rsidRPr="009D28A0">
              <w:rPr>
                <w:rFonts w:ascii="Calibri" w:hAnsi="Calibri"/>
              </w:rPr>
              <w:t>tillgängliga vetenskapliga studier om den nya tobaksproduktens toxicitet, beroendeframkallande egenskaper och attraktionskraft, särskilt när det gäller dess ingredienser och utsläpp,</w:t>
            </w:r>
          </w:p>
          <w:p w14:paraId="505313E0"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5) tillgängliga studier, sammanfattande rapport och marknadsanalyser av olika konsumentgruppers preferenser, däribland ungdomar och nuvarande rökare,</w:t>
            </w:r>
          </w:p>
          <w:p w14:paraId="1E2E64E0"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6) annan tillgänglig och relevant information, inbegripet en risk-/nyttoanalys för produkten, dess förväntade effekter på tobakskonsumtions upphörande, dess förväntade effekter på inledande av tobakskonsumtion samt den förväntade uppfattningen hos konsumenterna.</w:t>
            </w:r>
          </w:p>
          <w:p w14:paraId="74E0997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Tillverkaren, importören eller importören i Belgien, om de två första inte har säte i Belgien, av nya tobaksvaror ska till tjänsten lämna in all ny eller aktuell information om de studier, undersökningar och annan information som avses i punkterna 4.1–4.5 och 6.1–6.6.</w:t>
            </w:r>
          </w:p>
        </w:tc>
      </w:tr>
      <w:tr w:rsidR="00043ABD" w:rsidRPr="009D28A0" w14:paraId="6410C938" w14:textId="77777777" w:rsidTr="00A92F66">
        <w:tc>
          <w:tcPr>
            <w:tcW w:w="4431" w:type="dxa"/>
          </w:tcPr>
          <w:p w14:paraId="29DED151"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7 §  Anmälan ska lämnas i elektronisk form via den gemensamma elektroniska kontaktpunkten för dataöverföring.</w:t>
            </w:r>
          </w:p>
        </w:tc>
      </w:tr>
      <w:tr w:rsidR="00043ABD" w:rsidRPr="009D28A0" w14:paraId="0980467C" w14:textId="77777777" w:rsidTr="00A92F66">
        <w:tc>
          <w:tcPr>
            <w:tcW w:w="4431" w:type="dxa"/>
          </w:tcPr>
          <w:p w14:paraId="73045D6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8 § Den förteckning som avses i punkt 4.1 ska åtföljas av en förklaring med skälen till att de olika ingredienserna finns i de berörda produkterna. Förteckningen ska också ange ingrediensernas status, särskilt om de har registrerats i enlighet med 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och deras klassificering enligt Europaparlamentets och rådets förordning (EG) nr 1272/2008 av den 16 december 2008 om klassificering, märkning och förpackning av ämnen och blandningar, ändring och upphävande av direktiven 67/548/EEG och 1999/45/EG samt ändring av förordning (EG) nr 1907/2006.</w:t>
            </w:r>
          </w:p>
        </w:tc>
      </w:tr>
      <w:tr w:rsidR="00043ABD" w:rsidRPr="009D28A0" w14:paraId="0E6624D9" w14:textId="77777777" w:rsidTr="00A92F66">
        <w:tc>
          <w:tcPr>
            <w:tcW w:w="4431" w:type="dxa"/>
          </w:tcPr>
          <w:p w14:paraId="191CC58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9 § Den förteckning som avses i punkt 4.1 ska också åtföljas av toxikologiska uppgifter som är relevanta för dessa ingredienser, med och utan förbränning, allt efter omständigheterna, om särskilt </w:t>
            </w:r>
            <w:r w:rsidRPr="009D28A0">
              <w:rPr>
                <w:rFonts w:ascii="Calibri" w:hAnsi="Calibri"/>
              </w:rPr>
              <w:lastRenderedPageBreak/>
              <w:t>deras effekter på konsumenternas hälsa och med beaktande av bland annat beroendeframkallande egenskaper som de ger upphov till.</w:t>
            </w:r>
          </w:p>
          <w:p w14:paraId="7FD1EA7C" w14:textId="77777777" w:rsidR="00043ABD" w:rsidRPr="009D28A0"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För cigaretter och rulltobak ska dessutom ett tekniskt dokument med en allmän beskrivning av använda tillsatser och deras egenskaper lämnas in av tillverkaren, importören eller importören i Belgien, om de två första inte har säte i Belgien.</w:t>
            </w:r>
          </w:p>
        </w:tc>
      </w:tr>
      <w:tr w:rsidR="00043ABD" w:rsidRPr="009D28A0" w14:paraId="3B0E2A80" w14:textId="77777777" w:rsidTr="00A92F66">
        <w:tc>
          <w:tcPr>
            <w:tcW w:w="4431" w:type="dxa"/>
          </w:tcPr>
          <w:p w14:paraId="7FA05DC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lastRenderedPageBreak/>
              <w:t xml:space="preserve">10 § Om tjänsten anser att de inlämnade uppgifterna är ofullständiga ska den ha rätt att begära att de kompletteras. </w:t>
            </w:r>
          </w:p>
          <w:p w14:paraId="463A063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För nya tobaksvaror kan den också kräva ytterligare tester.</w:t>
            </w:r>
          </w:p>
        </w:tc>
      </w:tr>
      <w:tr w:rsidR="00043ABD" w:rsidRPr="009D28A0" w14:paraId="11DDD38C" w14:textId="77777777" w:rsidTr="00A92F66">
        <w:tc>
          <w:tcPr>
            <w:tcW w:w="4431" w:type="dxa"/>
          </w:tcPr>
          <w:p w14:paraId="2981504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11 § Den information som lämnas i enlighet med punkterna 4, 5 och 6 i denna artikel ska göras tillgänglig på tjänstens webbplats när tjänsten anser att den är fullständig och den faktura som avses i denna artikel har betalats. Produkter och anordningar, med undantag för pipor och vattenpipor, som inte finns med på förteckningen över validerade produkter och anordningar som publiceras på tjänstens webbplats får inte släppas ut på marknaden.</w:t>
            </w:r>
          </w:p>
          <w:p w14:paraId="60F0D30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Vid införandet av informationen ska uppgifter som utgör företagshemligheter eller annan konfidentiell information anges. Dessa krav måste motiveras på begäran.</w:t>
            </w:r>
          </w:p>
        </w:tc>
      </w:tr>
      <w:tr w:rsidR="00043ABD" w:rsidRPr="009D28A0" w14:paraId="31CD76E1" w14:textId="77777777" w:rsidTr="00A92F66">
        <w:tc>
          <w:tcPr>
            <w:tcW w:w="4431" w:type="dxa"/>
          </w:tcPr>
          <w:p w14:paraId="0609675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12 § Varje person som lämnar in en anmälan om en produkt till tjänsten, med undantag för nya tobaksprodukter, är skyldig att betala en avgift på 200 EUR per produkt.</w:t>
            </w:r>
          </w:p>
        </w:tc>
      </w:tr>
      <w:tr w:rsidR="00043ABD" w:rsidRPr="009D28A0" w14:paraId="347446F2" w14:textId="77777777" w:rsidTr="00A92F66">
        <w:tc>
          <w:tcPr>
            <w:tcW w:w="4431" w:type="dxa"/>
          </w:tcPr>
          <w:p w14:paraId="3256512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13 § Den som lämnar in en anmälan om en anordning eller en ny tobaksprodukt till tjänsten är skyldig att betala en avgift på 4 000 EUR per anordning eller ny tobaksvara.</w:t>
            </w:r>
          </w:p>
        </w:tc>
      </w:tr>
      <w:tr w:rsidR="00043ABD" w:rsidRPr="009D28A0" w14:paraId="04FDD72C" w14:textId="77777777" w:rsidTr="00A92F66">
        <w:tc>
          <w:tcPr>
            <w:tcW w:w="4431" w:type="dxa"/>
          </w:tcPr>
          <w:p w14:paraId="6BD27C7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14 § För varje ändring av en produkt eller produkt som orsakar en ändring av de uppgifter som inlämnats enligt punkterna 4, 5, 6 och 8 ska tillverkaren, importören eller importören i Belgien, om de två första inte har sitt säte i Belgien och inte har anmält produkten eller produkten, lämna in motsvarande nya uppgifter. Dessa ändringar anses vara väsentliga förändringar med undantag för ändringar som begärts av tjänsten, ändringar av kontaktuppgifter och införande av uppgifter om försäljningsvolym för föregående år enligt definitionen i paragraf 16 i denna artikel.</w:t>
            </w:r>
          </w:p>
        </w:tc>
      </w:tr>
      <w:tr w:rsidR="00043ABD" w:rsidRPr="009D28A0" w14:paraId="09C194C0" w14:textId="77777777" w:rsidTr="00A92F66">
        <w:tc>
          <w:tcPr>
            <w:tcW w:w="4431" w:type="dxa"/>
          </w:tcPr>
          <w:p w14:paraId="193462DE"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15 § Den som lämnar in en väsentlig ändring av tjänsten i enlighet med punkt 14 ska vara skyldig att betala avgiften på 100 EUR.</w:t>
            </w:r>
          </w:p>
        </w:tc>
      </w:tr>
      <w:tr w:rsidR="00043ABD" w:rsidRPr="009D28A0" w14:paraId="649AE25A" w14:textId="77777777" w:rsidTr="00A92F66">
        <w:tc>
          <w:tcPr>
            <w:tcW w:w="4431" w:type="dxa"/>
          </w:tcPr>
          <w:p w14:paraId="627442C5" w14:textId="50161DB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16 §  Tillverkaren, importören eller importören i Belgien ska, om de två första inte har sitt säte i Belgien och inte har anmält produkten eller produkten, ska senast den 1 mars varje år lämna in följande till tjänsten:</w:t>
            </w:r>
          </w:p>
          <w:p w14:paraId="2132622D" w14:textId="7B7EE532"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 uttömmande uppgifter om föregående års försäljningsvolym, per märke och typ av produkt eller anordning, i Belgien, uttryckt i antal anordningar/cigaretter/cigarrer/cigariller eller i kilogram, </w:t>
            </w:r>
          </w:p>
          <w:p w14:paraId="24ED0D5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2) interna och externa studier av olika konsumentgruppers marknader och preferenser, inbegripet ungdomar och befintliga rökare, när det gäller ingredienser och utsläpp,</w:t>
            </w:r>
          </w:p>
          <w:p w14:paraId="3524ECB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3) sammanfattningar av eventuella marknadsundersökningar som de utför när de lanserar nya produkter/enheter.</w:t>
            </w:r>
          </w:p>
        </w:tc>
      </w:tr>
      <w:tr w:rsidR="00043ABD" w:rsidRPr="009D28A0" w14:paraId="560DAE57" w14:textId="77777777" w:rsidTr="00A92F66">
        <w:tc>
          <w:tcPr>
            <w:tcW w:w="4431" w:type="dxa"/>
          </w:tcPr>
          <w:p w14:paraId="24EA92C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17 § Varje person som lämnar de årliga uppgifterna till tjänsten i enlighet med punkt 16 ska betala en avgift på 50 EUR per produkt eller enhet.</w:t>
            </w:r>
          </w:p>
        </w:tc>
      </w:tr>
      <w:tr w:rsidR="00043ABD" w:rsidRPr="009D28A0" w14:paraId="46D2A2F1" w14:textId="77777777" w:rsidTr="00A92F66">
        <w:tc>
          <w:tcPr>
            <w:tcW w:w="4431" w:type="dxa"/>
          </w:tcPr>
          <w:p w14:paraId="65E61579"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18 § Den modell som är tillämplig på överföring och tillhandahållande av den information som avses i denna artikel och metoden för överföring av den information som krävs enligt denna artikel anges av ministern.</w:t>
            </w:r>
          </w:p>
        </w:tc>
      </w:tr>
      <w:tr w:rsidR="00043ABD" w:rsidRPr="009D28A0" w14:paraId="1D5F5C37" w14:textId="77777777" w:rsidTr="00A92F66">
        <w:tc>
          <w:tcPr>
            <w:tcW w:w="4431" w:type="dxa"/>
          </w:tcPr>
          <w:p w14:paraId="19C1C52E"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19 § Varje avgift som anges i denna artikel ska betalas till budgetfonden för råvaror och produkter inom 30 dagar efter det att fakturan skickats. </w:t>
            </w:r>
          </w:p>
          <w:p w14:paraId="39B63015"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Avgiften ska betalas så snart uppgifterna har förts in i det anmälningssystem som fastställts av ministern i enlighet med punkt 18 och kan inte återkrävas.</w:t>
            </w:r>
          </w:p>
        </w:tc>
      </w:tr>
      <w:tr w:rsidR="00043ABD" w:rsidRPr="009D28A0" w14:paraId="47BC5B65" w14:textId="77777777" w:rsidTr="00A92F66">
        <w:tc>
          <w:tcPr>
            <w:tcW w:w="4431" w:type="dxa"/>
          </w:tcPr>
          <w:p w14:paraId="6E616180"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5.</w:t>
            </w:r>
            <w:r w:rsidRPr="009D28A0">
              <w:rPr>
                <w:rFonts w:ascii="Calibri" w:hAnsi="Calibri"/>
              </w:rPr>
              <w:t xml:space="preserve"> 1 § För utsläppande på marknaden av cigaretter och rulltobak omfattas i enlighet med artikel 6.1 i direktiv 2014/40/EU av skärpta rapporteringskrav som gäller för vissa tillsatser i en prioriterad förteckning över cigaretter och rulltobak.</w:t>
            </w:r>
          </w:p>
          <w:p w14:paraId="28E65C32"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lastRenderedPageBreak/>
              <w:t xml:space="preserve">   2 § Tillverkaren, importören eller importören i Belgien, om de två första inte har sitt säte i Belgien, ska för cigaretter eller rulltobak som innehåller en tillsats som ingår i den prioriteringslista som avses i punkt 1 i denna artikel genomföra ingående studier för att för varje tillsats undersöka om den</w:t>
            </w:r>
          </w:p>
          <w:p w14:paraId="286BA4D6"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1) bidrar till toxiciteten eller de beroendeframkallande egenskaperna hos de berörda produkterna och om huruvida detta leder till att toxiciteten eller de beroendeframkallande egenskaperna hos någon av de berörda produkterna ökar i betydande eller mätbar utsträckning,</w:t>
            </w:r>
          </w:p>
          <w:p w14:paraId="449F61D6"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ger en karakteristisk arom,</w:t>
            </w:r>
          </w:p>
          <w:p w14:paraId="31791C25"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underlättar inhalering eller upptag av nikotin,</w:t>
            </w:r>
          </w:p>
          <w:p w14:paraId="0E398346"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leder till att det bildas ämnen som är cancerframkallande, mutagena eller reproduktionstoxiska, i vilken kvantitet och om huruvida detta leder till att de cancerframkallande, mutagena eller reproduktionstoxiska egenskaperna hos någon av de berörda produkterna ökar i betydande eller mätbar utsträckning.</w:t>
            </w:r>
          </w:p>
          <w:p w14:paraId="4F6DC103"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 I dessa studier ska hänsyn tas till den avsedda användningen av de berörda produkterna och ska särskilt undersöka de utsläpp som uppstår vid förbränningen av den berörda tillsatsen. De ska även undersöka hur denna tillsats samverkar med övriga ingredienser som ingår i de berörda produkterna. Tillverkare, importörer eller importörer i Belgien, om de två första inte har sitt säte i Belgien, som använder en identisk tillsats i sina tobaksvaror, får genomföra en gemensam undersökning om tillsatsen används i produkter med jämförbar sammansättning.</w:t>
            </w:r>
          </w:p>
          <w:p w14:paraId="40926CDA"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 Tillverkaren, importören eller importören i Belgien, om de två första inte har sitt säte i Belgien, ska utarbeta en rapport om resultaten av dessa undersökningar. Rapporten ska innehålla en sammanfattning och en utförlig översikt som sammanställer tillgänglig vetenskaplig litteratur om den berörda tillsatsen och som sammanfattar de interna uppgifterna om tillsatsens effekter.</w:t>
            </w:r>
          </w:p>
          <w:p w14:paraId="4C66BC17"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Tillverkaren, importören eller importören i Belgien, om de två första inte har sitt säte i Belgien, ska lämna in dessa rapporter till tjänsten senast 18 månader efter det att tillsatsen i fråga har förts upp på prioritetslistan enligt punkt 1. Tjänsten kan också be tillverkaren, importören eller importören i Belgien, om de två sistnämnda inte har sitt säte i Belgien, om ytterligare upplysningar om tillsatsen i fråga. Dessa kompletterande uppgifter ska ingå i rapporten.</w:t>
            </w:r>
          </w:p>
          <w:p w14:paraId="1C4A907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5 § Små och medelstora företag enligt definitionen i kommissionens rekommendation 2003/361/EG är undantagna från skyldigheterna enligt denna artikel om en rapport om tillsatsen i fråga har utarbetats av en annan tillverkare eller en annan importör.</w:t>
            </w:r>
          </w:p>
          <w:p w14:paraId="73957527" w14:textId="77777777" w:rsidR="00043ABD" w:rsidRPr="009D28A0" w:rsidRDefault="00043ABD" w:rsidP="00043ABD">
            <w:pPr>
              <w:suppressAutoHyphens/>
              <w:spacing w:after="0" w:line="240" w:lineRule="auto"/>
              <w:jc w:val="both"/>
              <w:rPr>
                <w:rFonts w:ascii="Calibri" w:eastAsia="Times New Roman" w:hAnsi="Calibri" w:cs="Calibri"/>
                <w:sz w:val="24"/>
                <w:szCs w:val="24"/>
              </w:rPr>
            </w:pPr>
            <w:r w:rsidRPr="009D28A0">
              <w:rPr>
                <w:rFonts w:ascii="Calibri" w:hAnsi="Calibri"/>
              </w:rPr>
              <w:t xml:space="preserve">   6 § Sammansättningen av prioriteringslistan över tillsatser som är föremål för utökad rapportering enligt definitionen i denna artikel ska bestämmas av ministern. Ministern får begära ytterligare förtydliganden vad gäller de studier som ska lämnas in i enlighet med denna artikel.</w:t>
            </w:r>
          </w:p>
        </w:tc>
      </w:tr>
      <w:tr w:rsidR="00043ABD" w:rsidRPr="009D28A0" w14:paraId="6105C640" w14:textId="77777777" w:rsidTr="00A92F66">
        <w:tc>
          <w:tcPr>
            <w:tcW w:w="4431" w:type="dxa"/>
          </w:tcPr>
          <w:p w14:paraId="200AFFD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5FDD59F" w14:textId="77777777" w:rsidTr="00A92F66">
        <w:tc>
          <w:tcPr>
            <w:tcW w:w="4431" w:type="dxa"/>
          </w:tcPr>
          <w:p w14:paraId="35937BB6"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5. Sammansättning</w:t>
            </w:r>
          </w:p>
        </w:tc>
      </w:tr>
      <w:tr w:rsidR="00043ABD" w:rsidRPr="009D28A0" w14:paraId="642CBC94" w14:textId="77777777" w:rsidTr="00A92F66">
        <w:tc>
          <w:tcPr>
            <w:tcW w:w="4431" w:type="dxa"/>
          </w:tcPr>
          <w:p w14:paraId="25F9332B"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0BB00CB3" w14:textId="77777777" w:rsidTr="00A92F66">
        <w:tc>
          <w:tcPr>
            <w:tcW w:w="4431" w:type="dxa"/>
          </w:tcPr>
          <w:p w14:paraId="234B704E" w14:textId="77777777" w:rsidR="00043ABD" w:rsidRPr="009D28A0" w:rsidRDefault="00043ABD" w:rsidP="00043ABD">
            <w:pPr>
              <w:tabs>
                <w:tab w:val="left" w:pos="2410"/>
              </w:tabs>
              <w:spacing w:after="0" w:line="240" w:lineRule="auto"/>
              <w:jc w:val="both"/>
              <w:rPr>
                <w:rFonts w:ascii="Calibri" w:eastAsia="Times New Roman" w:hAnsi="Calibri" w:cs="Calibri"/>
              </w:rPr>
            </w:pPr>
            <w:r w:rsidRPr="009D28A0">
              <w:rPr>
                <w:rFonts w:ascii="Calibri" w:hAnsi="Calibri"/>
                <w:b/>
              </w:rPr>
              <w:t>Artikel 6.</w:t>
            </w:r>
            <w:r w:rsidRPr="009D28A0">
              <w:rPr>
                <w:rFonts w:ascii="Calibri" w:hAnsi="Calibri"/>
              </w:rPr>
              <w:t xml:space="preserve"> 1 § Det är förbjudet att släppa ut tobaksvaror som innehåller en karakteristisk arom på marknaden.</w:t>
            </w:r>
          </w:p>
          <w:p w14:paraId="20202173"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Andra tobaksvaror än cigaretter, rulltobak och nya tobaksprodukter är undantagna från detta förbud.</w:t>
            </w:r>
          </w:p>
        </w:tc>
      </w:tr>
      <w:tr w:rsidR="00043ABD" w:rsidRPr="009D28A0" w14:paraId="72F92390" w14:textId="77777777" w:rsidTr="00A92F66">
        <w:tc>
          <w:tcPr>
            <w:tcW w:w="4431" w:type="dxa"/>
          </w:tcPr>
          <w:p w14:paraId="7BE3F349"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2 § Det är förbjudet att släppa ut tobaksvaror för användning i munnen enligt definitionen i artikel 2.9 på marknaden.</w:t>
            </w:r>
          </w:p>
        </w:tc>
      </w:tr>
      <w:tr w:rsidR="00043ABD" w:rsidRPr="009D28A0" w14:paraId="18B7B8D1" w14:textId="77777777" w:rsidTr="00A92F66">
        <w:tc>
          <w:tcPr>
            <w:tcW w:w="4431" w:type="dxa"/>
          </w:tcPr>
          <w:p w14:paraId="5AD648D1"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3 § Det är förbjudet att släppa ut tobaksvaror som innehåller följande tillsatser på marknaden:</w:t>
            </w:r>
          </w:p>
          <w:p w14:paraId="69B45D5A"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 vitaminer eller andra tillsatser som ger intryck av att en produkt har gynnsamma effekter på hälsan eller att dess hälsorisker har minskat.</w:t>
            </w:r>
          </w:p>
          <w:p w14:paraId="476E4752"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2) koffein eller taurin eller andra tillsatser och stimulanter förknippade med energi och/eller vitalitet,</w:t>
            </w:r>
          </w:p>
          <w:p w14:paraId="6CB2F7C4"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3) tillsatser som färgar utsläpp,</w:t>
            </w:r>
          </w:p>
          <w:p w14:paraId="28D81862"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4) tillsatser som underlättar absorptionen av nikotin,</w:t>
            </w:r>
          </w:p>
          <w:p w14:paraId="052C3CF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5) tillsatser som underlättar inandning, </w:t>
            </w:r>
          </w:p>
          <w:p w14:paraId="0D2AE57C"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6) tillsatser som, utan förbränning, har CMR-egenskaper.</w:t>
            </w:r>
          </w:p>
          <w:p w14:paraId="41B28A28"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lastRenderedPageBreak/>
              <w:t xml:space="preserve">  Tuggtobak och luktsnus är undantagna från förbudet i punkt 3.5.</w:t>
            </w:r>
          </w:p>
          <w:p w14:paraId="796AFEA3"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Ministern får upprätta en förteckning över förbjudna tillsatser och/eller en förteckning över godkända tillsatser. </w:t>
            </w:r>
          </w:p>
        </w:tc>
      </w:tr>
      <w:tr w:rsidR="00043ABD" w:rsidRPr="009D28A0" w14:paraId="73583115" w14:textId="77777777" w:rsidTr="00A92F66">
        <w:tc>
          <w:tcPr>
            <w:tcW w:w="4431" w:type="dxa"/>
          </w:tcPr>
          <w:p w14:paraId="5B39D84E"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lastRenderedPageBreak/>
              <w:t>4 § Det är förbjudet att släppa ut örtprodukter för rökning på marknaden som innehåller följande tillsatser:</w:t>
            </w:r>
          </w:p>
          <w:p w14:paraId="552C12E2"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 vitaminer eller andra tillsatser som ger intryck av att en produkt har gynnsamma effekter på hälsan eller att dess hälsorisker har minskat, med undantag för cannabis sativa,</w:t>
            </w:r>
          </w:p>
          <w:p w14:paraId="16DD4D2F"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2) koffein eller taurin eller andra tillsatser och stimulanter förknippade med energi och/eller vitalitet,</w:t>
            </w:r>
          </w:p>
          <w:p w14:paraId="42E6B8D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3) tillsatser som färgar utsläpp,</w:t>
            </w:r>
          </w:p>
          <w:p w14:paraId="284D4BB3"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4) tillsatser som, utan förbränning, har CMR-egenskaper,</w:t>
            </w:r>
          </w:p>
          <w:p w14:paraId="385DCBB9"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(5) nikotin.</w:t>
            </w:r>
          </w:p>
          <w:p w14:paraId="015D4CCE"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Ministern får upprätta en förteckning över förbjudna tillsatser och/eller en förteckning över godkända tillsatser.</w:t>
            </w:r>
          </w:p>
        </w:tc>
      </w:tr>
      <w:tr w:rsidR="00043ABD" w:rsidRPr="009D28A0" w14:paraId="10EDC6FB" w14:textId="77777777" w:rsidTr="00A92F66">
        <w:tc>
          <w:tcPr>
            <w:tcW w:w="4431" w:type="dxa"/>
          </w:tcPr>
          <w:p w14:paraId="195FDFF4"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5 § Det är förbjudet att släppa ut på marknaden</w:t>
            </w:r>
          </w:p>
          <w:p w14:paraId="0E1F5342" w14:textId="77777777" w:rsidR="00043ABD" w:rsidRPr="009D28A0"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1)</w:t>
            </w:r>
            <w:r w:rsidRPr="009D28A0">
              <w:rPr>
                <w:rFonts w:ascii="Times New Roman" w:hAnsi="Times New Roman"/>
                <w:sz w:val="20"/>
              </w:rPr>
              <w:t xml:space="preserve"> </w:t>
            </w:r>
            <w:r w:rsidRPr="009D28A0">
              <w:rPr>
                <w:rFonts w:ascii="Calibri" w:hAnsi="Calibri"/>
              </w:rPr>
              <w:t>produkter som innehåller aromer i någon av deras komponenter såsom filter, papper, förpackning och kapslar,</w:t>
            </w:r>
          </w:p>
          <w:p w14:paraId="71D58BB7"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2) filter, papper och kapslar som innehåller tobak och/eller nikotin,</w:t>
            </w:r>
          </w:p>
          <w:p w14:paraId="285DD009" w14:textId="4D469326"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3) tekniska faktorer som gör det möjligt att ändra eller förbättra lukt, smak, förbränningsintensitet, rökproduktion, färg på utsläpp och/eller konsumtion av produkter,</w:t>
            </w:r>
          </w:p>
          <w:p w14:paraId="3202BA1E" w14:textId="77777777" w:rsidR="00043ABD" w:rsidRPr="009D28A0" w:rsidRDefault="00043ABD" w:rsidP="00043ABD">
            <w:pPr>
              <w:tabs>
                <w:tab w:val="left" w:pos="2410"/>
              </w:tabs>
              <w:spacing w:after="0" w:line="240" w:lineRule="auto"/>
              <w:jc w:val="both"/>
              <w:rPr>
                <w:rFonts w:ascii="Calibri" w:eastAsia="Times New Roman" w:hAnsi="Calibri" w:cs="Calibri"/>
                <w:bCs/>
              </w:rPr>
            </w:pPr>
            <w:r w:rsidRPr="009D28A0">
              <w:rPr>
                <w:rFonts w:ascii="Calibri" w:hAnsi="Calibri"/>
              </w:rPr>
              <w:t xml:space="preserve">  4) tekniska aspekter, inklusive de tillsatser som nämns i punkt 3 i denna artikel. </w:t>
            </w:r>
          </w:p>
          <w:p w14:paraId="2DAAEA5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örtprodukter för rökning och</w:t>
            </w:r>
            <w:r w:rsidRPr="009D28A0">
              <w:rPr>
                <w:rFonts w:ascii="Times New Roman" w:hAnsi="Times New Roman"/>
                <w:sz w:val="20"/>
              </w:rPr>
              <w:t xml:space="preserve"> </w:t>
            </w:r>
            <w:r w:rsidRPr="009D28A0">
              <w:rPr>
                <w:rFonts w:ascii="Calibri" w:hAnsi="Calibri"/>
              </w:rPr>
              <w:t>tobaksprodukter utom cigaretter, rulltobak och nya tobaksvaror ska undantas från förbudet i punkt 5.1.</w:t>
            </w:r>
          </w:p>
        </w:tc>
      </w:tr>
      <w:tr w:rsidR="00043ABD" w:rsidRPr="009D28A0" w14:paraId="0730E848" w14:textId="77777777" w:rsidTr="00A92F66">
        <w:tc>
          <w:tcPr>
            <w:tcW w:w="4431" w:type="dxa"/>
          </w:tcPr>
          <w:p w14:paraId="0CF752D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6 § Det ska vara förbjudet att släppa ut produkter på marknaden som innehåller tillsatser i mängder som under konsumtionen på ett betydande eller mätbart sätt ökar på grundval av vetenskapliga data, deras toxiska effekter, deras beroendeframkallande egenskaper eller deras CMR-egenskaper. Ministern kan begära ett yttrande från det överordnade hälsorådet för att identifiera dessa produkter. </w:t>
            </w:r>
          </w:p>
        </w:tc>
      </w:tr>
      <w:tr w:rsidR="00043ABD" w:rsidRPr="009D28A0" w14:paraId="4870C372" w14:textId="77777777" w:rsidTr="00A92F66">
        <w:tc>
          <w:tcPr>
            <w:tcW w:w="4431" w:type="dxa"/>
          </w:tcPr>
          <w:p w14:paraId="7A4BC926"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7 § Tjänsten får ta ut proportionerliga avgifter från tillverkare, importörer och, i tillämpliga fall, importörer i Belgien av produkter för att bedöma om en tobaksvara innehåller en karakteristisk arom, om produkterna innehåller förbjudna tillsatser eller aromer och om en produkt innehåller tillsatser i mängder som avsevärt ökar dess toxiska effekter, dess beroendeframkallande egenskaper eller dess CMR-egenskaper. </w:t>
            </w:r>
          </w:p>
        </w:tc>
      </w:tr>
      <w:tr w:rsidR="00043ABD" w:rsidRPr="009D28A0" w14:paraId="039A412B" w14:textId="77777777" w:rsidTr="00A92F66">
        <w:tc>
          <w:tcPr>
            <w:tcW w:w="4431" w:type="dxa"/>
          </w:tcPr>
          <w:p w14:paraId="2906C40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ED37CC8" w14:textId="77777777" w:rsidTr="00A92F66">
        <w:tc>
          <w:tcPr>
            <w:tcW w:w="4431" w:type="dxa"/>
          </w:tcPr>
          <w:p w14:paraId="4FC2CA30"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6. Märkning och förpackning</w:t>
            </w:r>
          </w:p>
        </w:tc>
      </w:tr>
      <w:tr w:rsidR="00043ABD" w:rsidRPr="009D28A0" w14:paraId="176B6411" w14:textId="77777777" w:rsidTr="00A92F66">
        <w:tc>
          <w:tcPr>
            <w:tcW w:w="4431" w:type="dxa"/>
          </w:tcPr>
          <w:p w14:paraId="126713B3"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A9CA5EF" w14:textId="77777777" w:rsidTr="00A92F66">
        <w:tc>
          <w:tcPr>
            <w:tcW w:w="4431" w:type="dxa"/>
          </w:tcPr>
          <w:p w14:paraId="0DEA8FD5" w14:textId="77777777" w:rsidR="00043ABD" w:rsidRPr="009D28A0" w:rsidRDefault="00043ABD" w:rsidP="00043ABD">
            <w:pPr>
              <w:suppressAutoHyphens/>
              <w:spacing w:after="0" w:line="240" w:lineRule="auto"/>
              <w:jc w:val="both"/>
              <w:rPr>
                <w:rFonts w:ascii="Calibri" w:eastAsia="Times New Roman" w:hAnsi="Calibri" w:cs="Calibri"/>
                <w:b/>
                <w:bCs/>
              </w:rPr>
            </w:pPr>
            <w:r w:rsidRPr="009D28A0">
              <w:rPr>
                <w:rFonts w:ascii="Calibri" w:hAnsi="Calibri"/>
                <w:b/>
              </w:rPr>
              <w:t>Allmänna bestämmelser</w:t>
            </w:r>
            <w:r w:rsidRPr="009D28A0">
              <w:rPr>
                <w:rFonts w:ascii="Calibri" w:hAnsi="Calibri"/>
                <w:b/>
                <w:color w:val="C00000"/>
              </w:rPr>
              <w:t xml:space="preserve"> </w:t>
            </w:r>
            <w:r w:rsidRPr="009D28A0">
              <w:rPr>
                <w:rFonts w:ascii="Calibri" w:hAnsi="Calibri"/>
                <w:b/>
              </w:rPr>
              <w:t>om hälsovarningar</w:t>
            </w:r>
          </w:p>
        </w:tc>
      </w:tr>
      <w:tr w:rsidR="00043ABD" w:rsidRPr="009D28A0" w14:paraId="3D8D9BAC" w14:textId="77777777" w:rsidTr="00A92F66">
        <w:tc>
          <w:tcPr>
            <w:tcW w:w="4431" w:type="dxa"/>
          </w:tcPr>
          <w:p w14:paraId="6696AD9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9BEFC65" w14:textId="77777777" w:rsidTr="00A92F66">
        <w:tc>
          <w:tcPr>
            <w:tcW w:w="4431" w:type="dxa"/>
          </w:tcPr>
          <w:p w14:paraId="7C99E2F5"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7.</w:t>
            </w:r>
            <w:r w:rsidRPr="009D28A0">
              <w:rPr>
                <w:rFonts w:ascii="Calibri" w:hAnsi="Calibri"/>
              </w:rPr>
              <w:t xml:space="preserve"> 1 § Varje styckförpackning av en produkt och varje ytterförpackning ska vara försedd med de hälsovarningar som föreskrivs i detta kapitel på nederländska, franska och tyska. Varje språk ska tryckas på en ny rad.</w:t>
            </w:r>
          </w:p>
          <w:p w14:paraId="36A4CA2A"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sz w:val="24"/>
              </w:rPr>
              <w:t xml:space="preserve">  </w:t>
            </w:r>
            <w:r w:rsidRPr="009D28A0">
              <w:rPr>
                <w:rFonts w:ascii="Calibri" w:hAnsi="Calibri"/>
              </w:rPr>
              <w:t>2 § Hälsovarningarna ska omfatta hela ytan på styckförpackningen eller den yttre förpackningen som är avsedd för dem. De ska inte kommenteras, parafraseras eller hänvisas till på något sätt.</w:t>
            </w:r>
          </w:p>
          <w:p w14:paraId="6AEC7C28"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 Hälsovarningar på styckförpackningar eller ytterförpackningar ska tryckas så att de inte kan avlägsnas, outplånligt och fullt synligt. De får inte helt eller delvis döljas eller delas upp av skattemärken, prislappar, säkerhetsanordningar, överförpackningar, kuvert, lådor eller andra föremål.</w:t>
            </w:r>
          </w:p>
          <w:p w14:paraId="0D63EEA4"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 På styckförpackningar för andra produkter än cigaretter och rulltobak i påsar och nya tobaksprodukter får hälsovarningar anbringas med lim, förutsatt att dessa inte kan avlägsnas.</w:t>
            </w:r>
          </w:p>
          <w:p w14:paraId="4DC6B077"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lastRenderedPageBreak/>
              <w:t xml:space="preserve">  5 § Hälsovarningarna ska förbli intakta när styckförpackningen öppnas, med undantag för förpackningar med ett vikbart överdrag för vilket hälsovarningar kan brytas av förpackningens öppning, men endast på ett sätt som säkerställer att texten, fotona och avvänjningsinformationen är grafiskt hela och synliga.</w:t>
            </w:r>
          </w:p>
          <w:p w14:paraId="5A6CA97C"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6 § Hälsovarningar får inte på något sätt dölja eller avbryta skattestämplar, prisetiketter, märkningar för identifiering och spårbarhet eller säkerhetsdetaljer på styckförpackningar.</w:t>
            </w:r>
          </w:p>
          <w:p w14:paraId="15AED53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7 § Storleken på de hälsovarningar som föreskrivs i artiklarna 8, 9, 10 och 11 ska beräknas utifrån det avsedda området när förpackningen stängs.</w:t>
            </w:r>
          </w:p>
          <w:p w14:paraId="6F373ACE"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p>
          <w:p w14:paraId="34D7F323" w14:textId="77777777" w:rsidR="00043ABD" w:rsidRPr="009D28A0" w:rsidRDefault="00043ABD" w:rsidP="00043ABD">
            <w:pPr>
              <w:suppressAutoHyphens/>
              <w:spacing w:after="0" w:line="240" w:lineRule="auto"/>
              <w:jc w:val="both"/>
              <w:rPr>
                <w:rFonts w:ascii="Calibri" w:eastAsia="Times New Roman" w:hAnsi="Calibri" w:cs="Calibri"/>
                <w:bCs/>
              </w:rPr>
            </w:pPr>
          </w:p>
          <w:p w14:paraId="5B975AC2"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8 § Hälsovarningarna ska ramas in av en svart kant med en bredd på 1 mm inom den yta som är reserverad för dessa varningar.</w:t>
            </w:r>
          </w:p>
          <w:p w14:paraId="5881A489" w14:textId="77777777" w:rsidR="00043ABD" w:rsidRPr="009D28A0" w:rsidRDefault="00043ABD" w:rsidP="00043ABD">
            <w:pPr>
              <w:spacing w:after="0" w:line="240" w:lineRule="auto"/>
              <w:rPr>
                <w:rFonts w:ascii="Calibri" w:eastAsia="Times New Roman" w:hAnsi="Calibri" w:cs="Calibri"/>
                <w:bCs/>
              </w:rPr>
            </w:pPr>
            <w:r w:rsidRPr="009D28A0">
              <w:rPr>
                <w:rFonts w:ascii="Calibri" w:hAnsi="Calibri"/>
              </w:rPr>
              <w:t xml:space="preserve"> 9 § Texten i hälsovarningarna ska vara parallell med huvudtexten på ytan som är reserverad för dessa varningar. </w:t>
            </w:r>
          </w:p>
          <w:p w14:paraId="0091F05E" w14:textId="2AFB64EF" w:rsidR="00043ABD" w:rsidRPr="009D28A0" w:rsidRDefault="00043ABD" w:rsidP="00043ABD">
            <w:pPr>
              <w:spacing w:after="0" w:line="240" w:lineRule="auto"/>
              <w:rPr>
                <w:rFonts w:ascii="Calibri" w:eastAsia="Times New Roman" w:hAnsi="Calibri" w:cs="Calibri"/>
                <w:bCs/>
              </w:rPr>
            </w:pPr>
            <w:r w:rsidRPr="009D28A0">
              <w:rPr>
                <w:rFonts w:ascii="Calibri" w:hAnsi="Calibri"/>
              </w:rPr>
              <w:t>10 § Märke och undermärke på förpackningsenheten och ytterförpackningen ska vara identiskt med det som anges i anmälningssystemet såsom det definieras av ministern i enlighet med artikel 4, § 18.</w:t>
            </w:r>
          </w:p>
        </w:tc>
      </w:tr>
      <w:tr w:rsidR="00043ABD" w:rsidRPr="009D28A0" w14:paraId="399F0511" w14:textId="77777777" w:rsidTr="00A92F66">
        <w:tc>
          <w:tcPr>
            <w:tcW w:w="4431" w:type="dxa"/>
          </w:tcPr>
          <w:p w14:paraId="2EE59C04"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198EB808" w14:textId="77777777" w:rsidTr="00A92F66">
        <w:tc>
          <w:tcPr>
            <w:tcW w:w="4431" w:type="dxa"/>
          </w:tcPr>
          <w:p w14:paraId="24923F2F" w14:textId="77777777" w:rsidR="00043ABD" w:rsidRPr="009D28A0" w:rsidRDefault="00043ABD" w:rsidP="00043ABD">
            <w:pPr>
              <w:suppressAutoHyphens/>
              <w:spacing w:after="0" w:line="240" w:lineRule="auto"/>
              <w:jc w:val="both"/>
              <w:rPr>
                <w:rFonts w:ascii="Calibri" w:eastAsia="Times New Roman" w:hAnsi="Calibri" w:cs="Calibri"/>
                <w:b/>
                <w:bCs/>
              </w:rPr>
            </w:pPr>
            <w:r w:rsidRPr="009D28A0">
              <w:rPr>
                <w:rFonts w:ascii="Calibri" w:hAnsi="Calibri"/>
                <w:b/>
              </w:rPr>
              <w:t>Allmänna varningar och information om tobaksvaror för rökning</w:t>
            </w:r>
          </w:p>
        </w:tc>
      </w:tr>
      <w:tr w:rsidR="00043ABD" w:rsidRPr="009D28A0" w14:paraId="37CD94C8" w14:textId="77777777" w:rsidTr="00A92F66">
        <w:tc>
          <w:tcPr>
            <w:tcW w:w="4431" w:type="dxa"/>
          </w:tcPr>
          <w:p w14:paraId="1336C91A"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376A6E07" w14:textId="77777777" w:rsidTr="00A92F66">
        <w:tc>
          <w:tcPr>
            <w:tcW w:w="4431" w:type="dxa"/>
          </w:tcPr>
          <w:p w14:paraId="64D1882F"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Pr="009D28A0">
              <w:rPr>
                <w:rFonts w:ascii="Calibri" w:hAnsi="Calibri"/>
                <w:b/>
              </w:rPr>
              <w:t>Artikel 8.</w:t>
            </w:r>
            <w:r w:rsidRPr="009D28A0">
              <w:rPr>
                <w:rFonts w:ascii="Calibri" w:hAnsi="Calibri"/>
              </w:rPr>
              <w:t xml:space="preserve"> 1 § Varje styckförpackning och eventuella ytterförpackningar med tobaksvaror för rökning ska vara försedda med följande allmänna varning:</w:t>
            </w:r>
          </w:p>
          <w:p w14:paraId="55625082"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”Rökning dödar – Sluta nu</w:t>
            </w:r>
          </w:p>
          <w:p w14:paraId="37B77879"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Roken is dodelijk - Stop nu</w:t>
            </w:r>
          </w:p>
          <w:p w14:paraId="14958D5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Pr="009D28A0">
              <w:rPr>
                <w:rFonts w:ascii="Calibri" w:hAnsi="Calibri"/>
                <w:lang w:val="de-DE"/>
              </w:rPr>
              <w:t>Rauchen ist tödlich - hören Sie jetzt auf</w:t>
            </w:r>
            <w:r w:rsidRPr="009D28A0">
              <w:rPr>
                <w:rFonts w:ascii="Calibri" w:hAnsi="Calibri"/>
              </w:rPr>
              <w:t>”.</w:t>
            </w:r>
          </w:p>
          <w:p w14:paraId="485C95E7"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 Varje styckförpackning och eventuell ytterförpackning av tobaksvaror för rökning ska vara försedd med följande informationsmeddelande:</w:t>
            </w:r>
          </w:p>
          <w:p w14:paraId="22EFA173"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”Tobaksrök innehåller fler än 70 cancerframkallande ämnen</w:t>
            </w:r>
          </w:p>
          <w:p w14:paraId="5E118D25"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Pr="009D28A0">
              <w:rPr>
                <w:rFonts w:ascii="Calibri" w:hAnsi="Calibri"/>
                <w:lang w:val="de-DE"/>
              </w:rPr>
              <w:t>Tabaksrook bevat meer dan 70 stoffen die kanker veroorzaken</w:t>
            </w:r>
          </w:p>
          <w:p w14:paraId="6260B282"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lang w:val="de-DE"/>
              </w:rPr>
              <w:t xml:space="preserve">  Tabakrauch enthält über 70 Stoffe, die erwiesenermaßen krebserregend sind</w:t>
            </w:r>
            <w:r w:rsidRPr="009D28A0">
              <w:rPr>
                <w:rFonts w:ascii="Calibri" w:hAnsi="Calibri"/>
              </w:rPr>
              <w:t>”.</w:t>
            </w:r>
          </w:p>
          <w:p w14:paraId="32AD1EE9"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 Den allmänna varningen och informationsmeddelandet ska tryckas på följande sätt:</w:t>
            </w:r>
          </w:p>
          <w:p w14:paraId="3687A9E3"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1) För cigarettpaket, vattenpipetobakspaket och rulltobak i förpackning av parallellepipedtyp ska den allmänna varningstexten finnas på den nedre delen av en av styckförpackningarnas sidoytor, och informationsmeddelandet ska visas på den nedre delen av den andra sidoytan. Dessa hälsovarningar ska ha en bredd större än eller lika med 20 mm. Denna bestämmelse innebär att cigarettpaketets tjocklek inte får vara mindre än 20 mm.</w:t>
            </w:r>
          </w:p>
          <w:p w14:paraId="0D8D29C2"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För paket i form av en hopfällbar låda med ett lutande lock, och vars sidoyta därför delas upp i två när förpackningen öppnas, ska den allmänna varningen och informationsmeddelandet visas i sin helhet på de största delarna av dessa två separata ytor. Den allmänna varningen ska också visas på den inre delen av den övre ytan, synlig när paketet är öppet. Sidoytorna av denna typ av paket ska vara 16 mm eller högre.</w:t>
            </w:r>
          </w:p>
          <w:p w14:paraId="7B87A51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När det gäller rulltobak som saluförs i påsar visas den allmänna varningen och informationsmeddelandet på de ytor som garanterar fullständig synlighet för dessa hälsovarningar. Ministern fastställer den exakta platsen för det allmänna varnings- och informationsmeddelandet för rulltobak i påsar, med beaktande av de olika typerna av påsar.</w:t>
            </w:r>
          </w:p>
          <w:p w14:paraId="1DD5EE67" w14:textId="77777777" w:rsidR="00043ABD" w:rsidRPr="009D28A0"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När det gäller rulltobak och vattenpipetobak i cylindriska förpackningar ska den allmänna varningstexten finnas på lockets utsida och informationsmeddelandet på dess insida.</w:t>
            </w:r>
          </w:p>
          <w:p w14:paraId="133DC28E"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Både den allmänna varningen och informationstexten ska täcka 50 % av de ytor på vilka de trycks.</w:t>
            </w:r>
          </w:p>
          <w:p w14:paraId="435D6D1F"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 Den allmänna varning och det informationsmeddelande som avses i punkterna 1 och 2 ska vara placerade mitt på den yta som är reserverad för dem och, på förpackning av parallellepipedtyp och </w:t>
            </w:r>
            <w:r w:rsidRPr="009D28A0">
              <w:rPr>
                <w:rFonts w:ascii="Calibri" w:hAnsi="Calibri"/>
              </w:rPr>
              <w:lastRenderedPageBreak/>
              <w:t>eventuella ytterförpackningar, parallellt med sidokanten på styckförpackningen eller ytterförpackningen.</w:t>
            </w:r>
          </w:p>
          <w:p w14:paraId="72300631"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5 § Texten i det allmänna varnings- och informationsmeddelande som avses i punkterna 1 och 2 ska tryckas i svart Helvetica bold på en vit bakgrund med en teckenstorlek så att texten upptar största möjliga del av ytan som är avsedd för den utan att det påverkar dess läsbarhet.</w:t>
            </w:r>
          </w:p>
        </w:tc>
      </w:tr>
      <w:tr w:rsidR="00043ABD" w:rsidRPr="009D28A0" w14:paraId="25240385" w14:textId="77777777" w:rsidTr="00A92F66">
        <w:tc>
          <w:tcPr>
            <w:tcW w:w="4431" w:type="dxa"/>
          </w:tcPr>
          <w:p w14:paraId="090BCF7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4D1536A3" w14:textId="77777777" w:rsidTr="00A92F66">
        <w:tc>
          <w:tcPr>
            <w:tcW w:w="4431" w:type="dxa"/>
          </w:tcPr>
          <w:p w14:paraId="71A7CA9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Kombinerade hälsovarningar för tobaksvaror för rökning</w:t>
            </w:r>
          </w:p>
        </w:tc>
      </w:tr>
      <w:tr w:rsidR="00043ABD" w:rsidRPr="009D28A0" w14:paraId="7B15FFD2" w14:textId="77777777" w:rsidTr="00A92F66">
        <w:tc>
          <w:tcPr>
            <w:tcW w:w="4431" w:type="dxa"/>
          </w:tcPr>
          <w:p w14:paraId="41DDF53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4EA33D62" w14:textId="77777777" w:rsidTr="00A92F66">
        <w:tc>
          <w:tcPr>
            <w:tcW w:w="4431" w:type="dxa"/>
          </w:tcPr>
          <w:p w14:paraId="16041341"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9.</w:t>
            </w:r>
            <w:r w:rsidRPr="009D28A0">
              <w:rPr>
                <w:rFonts w:ascii="Calibri" w:hAnsi="Calibri"/>
              </w:rPr>
              <w:t xml:space="preserve"> 1 § Varje styckförpackning och eventuell ytterförpackning av tobaksvaror för rökning ska vara försedda med kombinerade hälsovarningar.</w:t>
            </w:r>
          </w:p>
          <w:p w14:paraId="356350BF"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 Kombinerade hälsovarningar:</w:t>
            </w:r>
          </w:p>
          <w:p w14:paraId="3E1D88B4"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1) ska täcka 65 % av både den yttre framsidan och baksidan av styckförpackningen och eventuella ytterförpackningar.</w:t>
            </w:r>
          </w:p>
          <w:p w14:paraId="0E1228A7"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På cylindriska förpackningar:</w:t>
            </w:r>
          </w:p>
          <w:p w14:paraId="69AE382D"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 båda de kombinerade hälsovarningarna ska ha samma avstånd till varandra, som var och en täcker 65 % av deras respektive halva av den krökta ytan.</w:t>
            </w:r>
          </w:p>
          <w:p w14:paraId="5BAE0850"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 De kombinerade hälsovarningarna ska täcka hela bredden på de två ytor som de är fästa på,</w:t>
            </w:r>
          </w:p>
          <w:p w14:paraId="3E81C978" w14:textId="77777777" w:rsidR="00043ABD" w:rsidRPr="009D28A0" w:rsidRDefault="00043ABD" w:rsidP="00043ABD">
            <w:pPr>
              <w:suppressAutoHyphens/>
              <w:spacing w:after="0" w:line="240" w:lineRule="auto"/>
              <w:jc w:val="both"/>
              <w:rPr>
                <w:rFonts w:ascii="Calibri" w:eastAsia="Times New Roman" w:hAnsi="Calibri" w:cs="Calibri"/>
                <w:bCs/>
              </w:rPr>
            </w:pPr>
          </w:p>
          <w:p w14:paraId="141AC35C"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ska uppfylla följande mått när det gäller styckförpackningar med cigaretter:</w:t>
            </w:r>
          </w:p>
          <w:p w14:paraId="61C54DD4"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a) höjd: Minst 44 mm,</w:t>
            </w:r>
          </w:p>
          <w:p w14:paraId="69479AB3" w14:textId="4288ACE5"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00D02C9C" w:rsidRPr="009D28A0">
              <w:rPr>
                <w:rFonts w:ascii="Calibri" w:hAnsi="Calibri"/>
              </w:rPr>
              <w:t>b</w:t>
            </w:r>
            <w:r w:rsidRPr="009D28A0">
              <w:rPr>
                <w:rFonts w:ascii="Calibri" w:hAnsi="Calibri"/>
              </w:rPr>
              <w:t>) bredd: Minst 52 mm,</w:t>
            </w:r>
          </w:p>
          <w:p w14:paraId="7B06B950"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3) ska bestå av samma varningsmeddelande och samma motsvarande färgfoto på båda sidor av styckförpackningen och eventuella yttre förpackningar,</w:t>
            </w:r>
          </w:p>
          <w:p w14:paraId="4C002EA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4) ska visas mot den övre kanten på en styckförpackning och eventuell ytterförpackning, och ska ha samma riktning som all annan information som förekommer på förpackningens yta.</w:t>
            </w:r>
          </w:p>
          <w:p w14:paraId="3E0B32A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3 § Ministern får fastställa tekniska specifikationer för de kombinerade hälsovarningarnas sammansättning, layout, presentation och form, med beaktande av de olika förpackningsformerna. Ministern kan också fastställa regler för seriemässig användning av kombinerade hälsovarningar och årliga rotationer av dessa.</w:t>
            </w:r>
          </w:p>
        </w:tc>
      </w:tr>
      <w:tr w:rsidR="00043ABD" w:rsidRPr="009D28A0" w14:paraId="505AA2B4" w14:textId="77777777" w:rsidTr="00A92F66">
        <w:tc>
          <w:tcPr>
            <w:tcW w:w="4431" w:type="dxa"/>
          </w:tcPr>
          <w:p w14:paraId="6776B716"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42856C61" w14:textId="77777777" w:rsidTr="00A92F66">
        <w:tc>
          <w:tcPr>
            <w:tcW w:w="4431" w:type="dxa"/>
          </w:tcPr>
          <w:p w14:paraId="4020B9D1"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Märkning av rökfria tobaksvaror</w:t>
            </w:r>
          </w:p>
        </w:tc>
      </w:tr>
      <w:tr w:rsidR="00043ABD" w:rsidRPr="009D28A0" w14:paraId="53DC57D1" w14:textId="77777777" w:rsidTr="00A92F66">
        <w:tc>
          <w:tcPr>
            <w:tcW w:w="4431" w:type="dxa"/>
          </w:tcPr>
          <w:p w14:paraId="139B9CD5"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0FB95AD7" w14:textId="77777777" w:rsidTr="00A92F66">
        <w:tc>
          <w:tcPr>
            <w:tcW w:w="4431" w:type="dxa"/>
          </w:tcPr>
          <w:p w14:paraId="4721CED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10.</w:t>
            </w:r>
            <w:r w:rsidRPr="009D28A0">
              <w:rPr>
                <w:rFonts w:ascii="Calibri" w:hAnsi="Calibri"/>
              </w:rPr>
              <w:t xml:space="preserve"> 1 § Varje styckförpackning med rökfria tobaksvaror och eventuella ytterförpackningar ska vara märkta med följande hälsovarning:</w:t>
            </w:r>
          </w:p>
          <w:p w14:paraId="770990E8"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”Denna tobaksprodukt skadar din hälsa och är beroendeframkallande</w:t>
            </w:r>
          </w:p>
          <w:p w14:paraId="4508FCF5"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Pr="009D28A0">
              <w:rPr>
                <w:rFonts w:ascii="Calibri" w:hAnsi="Calibri"/>
                <w:lang w:val="de-DE"/>
              </w:rPr>
              <w:t>Dit tabaksproduct schaadt uw gezondheid en is verslavend</w:t>
            </w:r>
          </w:p>
          <w:p w14:paraId="04DD1368"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lang w:val="de-DE"/>
              </w:rPr>
              <w:t xml:space="preserve">  Dieses Tabakerzeugnis schädigt Ihre Gesundheit und macht süchtig</w:t>
            </w:r>
            <w:r w:rsidRPr="009D28A0">
              <w:rPr>
                <w:rFonts w:ascii="Calibri" w:hAnsi="Calibri"/>
              </w:rPr>
              <w:t>”.</w:t>
            </w:r>
          </w:p>
          <w:p w14:paraId="303E2C70"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 Den hälsovarning som avses i punkt 1 ska uppfylla kraven i artikel 8.4. Hälsovarningarnas text överensstämmer med kraven i artikel 8.5 och är parallell med huvudtexten på den yta som är reserverad för dessa varningar.</w:t>
            </w:r>
          </w:p>
          <w:p w14:paraId="5C3B8C3E"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Dessutom:</w:t>
            </w:r>
          </w:p>
          <w:p w14:paraId="73801244"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1) Den ska finnas på de två största ytorna på styckförpackningen och på alla ytterförpackningar.</w:t>
            </w:r>
          </w:p>
          <w:p w14:paraId="1349C28D"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2) Den ska täcka 35 % av respektive yta på styckförpackningen och eventuella ytterförpackningar.</w:t>
            </w:r>
          </w:p>
        </w:tc>
      </w:tr>
      <w:tr w:rsidR="00043ABD" w:rsidRPr="009D28A0" w14:paraId="7C8980B3" w14:textId="77777777" w:rsidTr="00A92F66">
        <w:tc>
          <w:tcPr>
            <w:tcW w:w="4431" w:type="dxa"/>
          </w:tcPr>
          <w:p w14:paraId="54DEA5B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EEFDDC3" w14:textId="77777777" w:rsidTr="00A92F66">
        <w:tc>
          <w:tcPr>
            <w:tcW w:w="4431" w:type="dxa"/>
          </w:tcPr>
          <w:p w14:paraId="421B5DF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Märkning av nya tobaksprodukter</w:t>
            </w:r>
          </w:p>
        </w:tc>
      </w:tr>
      <w:tr w:rsidR="00043ABD" w:rsidRPr="009D28A0" w14:paraId="0B8A9488" w14:textId="77777777" w:rsidTr="00A92F66">
        <w:tc>
          <w:tcPr>
            <w:tcW w:w="4431" w:type="dxa"/>
          </w:tcPr>
          <w:p w14:paraId="431B5B4E"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9484E8F" w14:textId="77777777" w:rsidTr="00A92F66">
        <w:tc>
          <w:tcPr>
            <w:tcW w:w="4431" w:type="dxa"/>
          </w:tcPr>
          <w:p w14:paraId="5E70ED09"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Artikel 11.</w:t>
            </w:r>
            <w:r w:rsidRPr="009D28A0">
              <w:rPr>
                <w:rFonts w:ascii="Calibri" w:hAnsi="Calibri"/>
              </w:rPr>
              <w:t xml:space="preserve"> 1 §. Upphettade tobaksvaror anses vara tobaksvaror för rökning och måste uppfylla bestämmelserna i artiklarna 7, 8 och 9.</w:t>
            </w:r>
          </w:p>
          <w:p w14:paraId="2D4264FC" w14:textId="77777777" w:rsidR="00043ABD" w:rsidRPr="009D28A0" w:rsidRDefault="00043ABD" w:rsidP="00043ABD">
            <w:pPr>
              <w:suppressAutoHyphens/>
              <w:spacing w:after="0" w:line="240" w:lineRule="auto"/>
              <w:jc w:val="both"/>
              <w:rPr>
                <w:rFonts w:ascii="Calibri" w:eastAsia="Times New Roman" w:hAnsi="Calibri" w:cs="Calibri"/>
              </w:rPr>
            </w:pPr>
          </w:p>
          <w:p w14:paraId="6728F4E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lastRenderedPageBreak/>
              <w:t xml:space="preserve">2 §. Ministern ska fastställa vilka av bestämmelserna i artiklarna 8, 9 och 10 som ska tillämpas på andra nya tobaksprodukter. Tjänsten ska meddela de bestämmelser som är tillämpliga för sökanden. </w:t>
            </w:r>
          </w:p>
        </w:tc>
      </w:tr>
      <w:tr w:rsidR="00043ABD" w:rsidRPr="009D28A0" w14:paraId="0A2B0411" w14:textId="77777777" w:rsidTr="00A92F66">
        <w:tc>
          <w:tcPr>
            <w:tcW w:w="4431" w:type="dxa"/>
          </w:tcPr>
          <w:p w14:paraId="55FA9B7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6E986A42" w14:textId="77777777" w:rsidTr="00A92F66">
        <w:tc>
          <w:tcPr>
            <w:tcW w:w="4431" w:type="dxa"/>
          </w:tcPr>
          <w:p w14:paraId="2F47BFDE"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Märkning av örtprodukter för rökning</w:t>
            </w:r>
          </w:p>
        </w:tc>
      </w:tr>
      <w:tr w:rsidR="00043ABD" w:rsidRPr="009D28A0" w14:paraId="472A46EA" w14:textId="77777777" w:rsidTr="00A92F66">
        <w:tc>
          <w:tcPr>
            <w:tcW w:w="4431" w:type="dxa"/>
          </w:tcPr>
          <w:p w14:paraId="6831522C"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7A60911" w14:textId="77777777" w:rsidTr="00A92F66">
        <w:tc>
          <w:tcPr>
            <w:tcW w:w="4431" w:type="dxa"/>
          </w:tcPr>
          <w:p w14:paraId="3BEF4C2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Artikel 12.</w:t>
            </w:r>
            <w:r w:rsidRPr="009D28A0">
              <w:rPr>
                <w:rFonts w:ascii="Calibri" w:hAnsi="Calibri"/>
              </w:rPr>
              <w:t xml:space="preserve"> 1 § Varje styckförpackning med örtprodukter för rökning och eventuella ytterförpackningar ska vara märkta med följande hälsovarning:</w:t>
            </w:r>
          </w:p>
          <w:p w14:paraId="664A845C"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 Rökning av denna produkt skadar din hälsa</w:t>
            </w:r>
          </w:p>
          <w:p w14:paraId="53C49CBB"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w:t>
            </w:r>
            <w:r w:rsidRPr="009D28A0">
              <w:rPr>
                <w:rFonts w:ascii="Calibri" w:hAnsi="Calibri"/>
                <w:lang w:val="de-DE"/>
              </w:rPr>
              <w:t>Het roken van dit product schaadt uw gezondheid</w:t>
            </w:r>
          </w:p>
          <w:p w14:paraId="38BD8D92"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lang w:val="de-DE"/>
              </w:rPr>
              <w:t xml:space="preserve">  Das Rauchen dieses Produkts schädigt Ihre Gesundheit</w:t>
            </w:r>
            <w:r w:rsidRPr="009D28A0">
              <w:rPr>
                <w:rFonts w:ascii="Calibri" w:hAnsi="Calibri"/>
              </w:rPr>
              <w:t>”.</w:t>
            </w:r>
          </w:p>
          <w:p w14:paraId="5AECF97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2 § Den hälsovarning som avses i punkt 1 ska uppfylla kraven i artiklarna 7 och 8.4. Texten till hälsovarningen ska uppfylla kraven i artikel 8.5 och vara parallell med huvudtexten på den yta som reserverats för denna varning.</w:t>
            </w:r>
          </w:p>
          <w:p w14:paraId="502C66B6"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Dessutom ska hälsovarningen:</w:t>
            </w:r>
          </w:p>
          <w:p w14:paraId="526D2B55"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(1) visas på de två största ytorna på styckförpackningen och eventuella ytterförpackningar.</w:t>
            </w:r>
          </w:p>
          <w:p w14:paraId="41244634"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(2) täcka 35 % av motsvarande yta på styckförpackningen och eventuell ytterförpackning.</w:t>
            </w:r>
          </w:p>
        </w:tc>
      </w:tr>
      <w:tr w:rsidR="00043ABD" w:rsidRPr="009D28A0" w14:paraId="2216F4CE" w14:textId="77777777" w:rsidTr="00A92F66">
        <w:tc>
          <w:tcPr>
            <w:tcW w:w="4431" w:type="dxa"/>
          </w:tcPr>
          <w:p w14:paraId="27B6924A"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36464FC4" w14:textId="77777777" w:rsidTr="00A92F66">
        <w:tc>
          <w:tcPr>
            <w:tcW w:w="4431" w:type="dxa"/>
          </w:tcPr>
          <w:p w14:paraId="65BA4718" w14:textId="77777777" w:rsidR="00043ABD" w:rsidRPr="009D28A0" w:rsidRDefault="00043ABD" w:rsidP="00043ABD">
            <w:pPr>
              <w:suppressAutoHyphens/>
              <w:spacing w:after="0" w:line="240" w:lineRule="auto"/>
              <w:jc w:val="both"/>
              <w:rPr>
                <w:rFonts w:ascii="Calibri" w:eastAsia="Times New Roman" w:hAnsi="Calibri" w:cs="Calibri"/>
                <w:b/>
                <w:bCs/>
              </w:rPr>
            </w:pPr>
            <w:r w:rsidRPr="009D28A0">
              <w:rPr>
                <w:rFonts w:ascii="Calibri" w:hAnsi="Calibri"/>
                <w:b/>
              </w:rPr>
              <w:t>Märkning av anordningar</w:t>
            </w:r>
          </w:p>
        </w:tc>
      </w:tr>
      <w:tr w:rsidR="00043ABD" w:rsidRPr="009D28A0" w14:paraId="33F4F895" w14:textId="77777777" w:rsidTr="00A92F66">
        <w:tc>
          <w:tcPr>
            <w:tcW w:w="4431" w:type="dxa"/>
          </w:tcPr>
          <w:p w14:paraId="426EE932" w14:textId="77777777" w:rsidR="00043ABD" w:rsidRPr="009D28A0"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9D28A0" w14:paraId="1F097FE3" w14:textId="77777777" w:rsidTr="00A92F66">
        <w:tc>
          <w:tcPr>
            <w:tcW w:w="4431" w:type="dxa"/>
          </w:tcPr>
          <w:p w14:paraId="57F148AA"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13.</w:t>
            </w:r>
            <w:r w:rsidRPr="009D28A0">
              <w:rPr>
                <w:rFonts w:ascii="Calibri" w:hAnsi="Calibri"/>
              </w:rPr>
              <w:t xml:space="preserve"> 1 § Varje styckförpackning med en anordningar och varje ytterförpackning ska vara märkt med följande hälsovarning: </w:t>
            </w:r>
          </w:p>
          <w:p w14:paraId="5E7D881C"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Konsumtion av en tobaksvara eller örtprodukter för rökning med denna anordning är skadligt för din hälsa.</w:t>
            </w:r>
          </w:p>
          <w:p w14:paraId="10DB78A9"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Het gebruik van een product op basis van tabak of van een voor roken bestemd kruidenproduct via dit toestel schaadt uw gezondheid.</w:t>
            </w:r>
          </w:p>
          <w:p w14:paraId="4EB0A0BE"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w:t>
            </w:r>
            <w:r w:rsidRPr="009D28A0">
              <w:rPr>
                <w:rFonts w:ascii="Calibri" w:hAnsi="Calibri"/>
                <w:lang w:val="de-DE"/>
              </w:rPr>
              <w:t>Der Konsum von Tabakwaren und pflanzlichen Raucherzeugnissen mittels dieses Apparats schädigt Ihre Gesundheit.</w:t>
            </w:r>
            <w:r w:rsidRPr="009D28A0">
              <w:rPr>
                <w:rFonts w:ascii="Calibri" w:hAnsi="Calibri"/>
              </w:rPr>
              <w:t>”</w:t>
            </w:r>
          </w:p>
          <w:p w14:paraId="69137F73"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2 § Den hälsovarning som avses i punkt 1 ska uppfylla kraven i artiklarna 7 och 8.4. Texten till hälsovarningarna uppfyller kraven i artikel 8.5 och är parallell med huvudtexten på den yta som reserverats för denna varning.</w:t>
            </w:r>
          </w:p>
          <w:p w14:paraId="2C0D443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Dessutom ska hälsovarningen:</w:t>
            </w:r>
          </w:p>
          <w:p w14:paraId="13FF6307"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(1) visas på de två största ytorna på styckförpackningen och eventuella ytterförpackningar.</w:t>
            </w:r>
          </w:p>
          <w:p w14:paraId="4786C3FB"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täcka 35 % av motsvarande yta på styckförpackningen och eventuell ytterförpackning.</w:t>
            </w:r>
          </w:p>
          <w:p w14:paraId="1819561E"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0EC4479F" w14:textId="77777777" w:rsidTr="00A92F66">
        <w:tc>
          <w:tcPr>
            <w:tcW w:w="4431" w:type="dxa"/>
          </w:tcPr>
          <w:p w14:paraId="4A7BE9C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5B4DD274" w14:textId="77777777" w:rsidTr="00A92F66">
        <w:tc>
          <w:tcPr>
            <w:tcW w:w="4431" w:type="dxa"/>
          </w:tcPr>
          <w:p w14:paraId="1AFC4773" w14:textId="77777777" w:rsidR="00043ABD" w:rsidRPr="009D28A0" w:rsidRDefault="00043ABD" w:rsidP="00043ABD">
            <w:pPr>
              <w:suppressAutoHyphens/>
              <w:spacing w:after="0" w:line="240" w:lineRule="auto"/>
              <w:jc w:val="both"/>
              <w:rPr>
                <w:rFonts w:ascii="Calibri" w:eastAsia="Times New Roman" w:hAnsi="Calibri" w:cs="Calibri"/>
                <w:b/>
                <w:bCs/>
              </w:rPr>
            </w:pPr>
            <w:r w:rsidRPr="009D28A0">
              <w:rPr>
                <w:rFonts w:ascii="Calibri" w:hAnsi="Calibri"/>
                <w:b/>
              </w:rPr>
              <w:t>Presentation av produkten</w:t>
            </w:r>
          </w:p>
        </w:tc>
      </w:tr>
      <w:tr w:rsidR="00043ABD" w:rsidRPr="009D28A0" w14:paraId="46B46198" w14:textId="77777777" w:rsidTr="00A92F66">
        <w:tc>
          <w:tcPr>
            <w:tcW w:w="4431" w:type="dxa"/>
          </w:tcPr>
          <w:p w14:paraId="538F9783" w14:textId="77777777" w:rsidR="00043ABD" w:rsidRPr="009D28A0"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9D28A0" w14:paraId="4BB03795" w14:textId="77777777" w:rsidTr="00A92F66">
        <w:tc>
          <w:tcPr>
            <w:tcW w:w="4431" w:type="dxa"/>
          </w:tcPr>
          <w:p w14:paraId="1110D85E"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Artikel 14.</w:t>
            </w:r>
            <w:r w:rsidRPr="009D28A0">
              <w:rPr>
                <w:rFonts w:ascii="Calibri" w:hAnsi="Calibri"/>
              </w:rPr>
              <w:t xml:space="preserve"> 1 § Märkningen av styckförpackningar, ytterförpackningar och själva produkten får inte innehålla några delar eller anordningar som</w:t>
            </w:r>
          </w:p>
          <w:p w14:paraId="4E4940F3"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1) bidrar till att främja en produkt eller uppmuntrar dess konsumtion genom att ge ett felaktigt intryck av produktens egenskaper, hälsoeffekter, risker eller utsläpp. Märkningen får inte innehålla information om tobaksproduktens nikotin-, tjär- eller kolmonoxidhalt,</w:t>
            </w:r>
          </w:p>
          <w:p w14:paraId="6B4D89F5"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2) antyder att en produkt är mindre skadlig än andra eller är avsedd att minska effekten av vissa skadliga beståndsdelar i rök eller har vitaliserande, energigivande, botande, föryngrande, naturliga, biologiska eller fördelaktiga effekter på hälsa eller livsstil,</w:t>
            </w:r>
          </w:p>
          <w:p w14:paraId="18B27A7C" w14:textId="77777777" w:rsidR="00043ABD" w:rsidRPr="009D28A0" w:rsidRDefault="00043ABD" w:rsidP="00043ABD">
            <w:pPr>
              <w:suppressAutoHyphens/>
              <w:spacing w:after="0" w:line="240" w:lineRule="auto"/>
              <w:jc w:val="both"/>
              <w:rPr>
                <w:rFonts w:ascii="Calibri" w:eastAsia="Times New Roman" w:hAnsi="Calibri" w:cs="Calibri"/>
              </w:rPr>
            </w:pPr>
          </w:p>
          <w:p w14:paraId="1211B1E7" w14:textId="77777777" w:rsidR="00043ABD" w:rsidRPr="009D28A0" w:rsidRDefault="00043ABD" w:rsidP="00043ABD">
            <w:pPr>
              <w:suppressAutoHyphens/>
              <w:spacing w:after="0" w:line="240" w:lineRule="auto"/>
              <w:jc w:val="both"/>
              <w:rPr>
                <w:rFonts w:ascii="Calibri" w:eastAsia="Times New Roman" w:hAnsi="Calibri" w:cs="Calibri"/>
              </w:rPr>
            </w:pPr>
          </w:p>
          <w:p w14:paraId="4BE2B000"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3) avser smak, lukt, arom eller andra tillsatser eller frånvaro av sådana,</w:t>
            </w:r>
          </w:p>
          <w:p w14:paraId="5286DBF9" w14:textId="77777777" w:rsidR="00043ABD" w:rsidRPr="009D28A0" w:rsidRDefault="00043ABD" w:rsidP="00043ABD">
            <w:pPr>
              <w:suppressAutoHyphens/>
              <w:spacing w:after="0" w:line="240" w:lineRule="auto"/>
              <w:jc w:val="both"/>
              <w:rPr>
                <w:rFonts w:ascii="Calibri" w:eastAsia="Times New Roman" w:hAnsi="Calibri" w:cs="Calibri"/>
              </w:rPr>
            </w:pPr>
          </w:p>
          <w:p w14:paraId="1AB1AF7C"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4) liknar ett livsmedel eller en kosmetisk produkt,</w:t>
            </w:r>
          </w:p>
          <w:p w14:paraId="2DA5DB39"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lastRenderedPageBreak/>
              <w:t xml:space="preserve">  5) tyder på att en produkt är lättare biologiskt nedbrytbar eller har andra miljömässiga fördelar.</w:t>
            </w:r>
          </w:p>
          <w:p w14:paraId="4ED7F5DE"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2 § Förpackningsenheter och ytterförpackningar får inte ge några ekonomiska fördelar genom tryckta kuponger, rabatterbjudanden, gratis utdelning, “två till priset för en” eller andra liknande erbjudanden. Varje omnämnande av priset, exklusive det pris som nämns på skattemärket, är förbjudet.</w:t>
            </w:r>
          </w:p>
          <w:p w14:paraId="4E002F86" w14:textId="77777777" w:rsidR="00043ABD" w:rsidRPr="009D28A0" w:rsidRDefault="00043ABD" w:rsidP="00043ABD">
            <w:pPr>
              <w:suppressAutoHyphens/>
              <w:spacing w:after="0" w:line="240" w:lineRule="auto"/>
              <w:jc w:val="both"/>
              <w:rPr>
                <w:rFonts w:ascii="Calibri" w:eastAsia="Times New Roman" w:hAnsi="Calibri" w:cs="Calibri"/>
              </w:rPr>
            </w:pPr>
          </w:p>
          <w:p w14:paraId="782BF467"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3 § Element och anordningar som är förbjudna enligt punkterna 1 och 2 får särskilt omfatta meddelanden, symboler, namn, varumärken samt figurativa eller andra tecken.</w:t>
            </w:r>
          </w:p>
          <w:p w14:paraId="494C139F"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4 § Enligt bestämmelserna i denna artikel får ministern upprätta en förteckning över förbjudna varumärken för tobaksvaror, även om dessa tobaksvaror redan finns på marknaden. En övergångsperiod kommer att fastställas för att stoppa saluföringen av förbjudna märkesnamn. Ministern anger det förfarande som ska följas för att ta med en tobaksvara i förteckningen över förbjudna varumärken. Ministern får inrätta ett förfarande för godkännande av varumärken för tobaksvaror som ännu inte släppts ut på marknaden.</w:t>
            </w:r>
          </w:p>
          <w:p w14:paraId="06998C83"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5 § Bestämmelserna i denna artikel ska tillämpas på tekniska element, såsom filter och papper, som gör det möjligt att konsumera produkter.</w:t>
            </w:r>
          </w:p>
        </w:tc>
      </w:tr>
      <w:tr w:rsidR="00043ABD" w:rsidRPr="009D28A0" w14:paraId="42019CB6" w14:textId="77777777" w:rsidTr="00A92F66">
        <w:tc>
          <w:tcPr>
            <w:tcW w:w="4431" w:type="dxa"/>
          </w:tcPr>
          <w:p w14:paraId="42513F99"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523365AE" w14:textId="77777777" w:rsidTr="00A92F66">
        <w:tc>
          <w:tcPr>
            <w:tcW w:w="4431" w:type="dxa"/>
          </w:tcPr>
          <w:p w14:paraId="52E5BA92" w14:textId="77777777" w:rsidR="00043ABD" w:rsidRPr="009D28A0" w:rsidRDefault="00043ABD" w:rsidP="00043ABD">
            <w:pPr>
              <w:suppressAutoHyphens/>
              <w:spacing w:after="0" w:line="240" w:lineRule="auto"/>
              <w:jc w:val="both"/>
              <w:rPr>
                <w:rFonts w:ascii="Calibri" w:eastAsia="Times New Roman" w:hAnsi="Calibri" w:cs="Calibri"/>
                <w:b/>
                <w:bCs/>
              </w:rPr>
            </w:pPr>
            <w:r w:rsidRPr="009D28A0">
              <w:rPr>
                <w:rFonts w:ascii="Calibri" w:hAnsi="Calibri"/>
                <w:b/>
              </w:rPr>
              <w:t>Presentation och innehåll av styckförpackningar med produkter och produkter</w:t>
            </w:r>
          </w:p>
        </w:tc>
      </w:tr>
      <w:tr w:rsidR="00043ABD" w:rsidRPr="009D28A0" w14:paraId="15C7F059" w14:textId="77777777" w:rsidTr="00A92F66">
        <w:tc>
          <w:tcPr>
            <w:tcW w:w="4431" w:type="dxa"/>
          </w:tcPr>
          <w:p w14:paraId="18D09A9B"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14E561D" w14:textId="77777777" w:rsidTr="00A92F66">
        <w:tc>
          <w:tcPr>
            <w:tcW w:w="4431" w:type="dxa"/>
          </w:tcPr>
          <w:p w14:paraId="325C371D"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b/>
              </w:rPr>
              <w:t>Artikel 15.</w:t>
            </w:r>
            <w:r w:rsidRPr="009D28A0">
              <w:rPr>
                <w:rFonts w:ascii="Calibri" w:hAnsi="Calibri"/>
              </w:rPr>
              <w:t xml:space="preserve"> 1 § Styckförpackningar för cigaretter har en parallellepiped form. Styckförpackningar för rulltobak ska ha en parallellepiped eller cylindrisk form eller ha formen av en påse. </w:t>
            </w:r>
          </w:p>
          <w:p w14:paraId="16BB1088"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2 §. Ett cigarettpaket innehåller minst 20 cigaretter, högst 50 cigaretter och en multipel av fem cigaretter. </w:t>
            </w:r>
          </w:p>
          <w:p w14:paraId="2175DF57"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En styckförpackning med rulltobak och vattenpipetobak ska innehålla minst 30 gram och högst 1000 gram rulltobak.</w:t>
            </w:r>
          </w:p>
          <w:p w14:paraId="4205CD58"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Styckförpackningar ska innehålla en mängd rulltobak mätt i gram i multipler av</w:t>
            </w:r>
          </w:p>
          <w:p w14:paraId="73A38068"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—tio när mängden tobak är mellan 30 och 100 gram,</w:t>
            </w:r>
          </w:p>
          <w:p w14:paraId="62821502"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—hundra när mängden tobak är mellan 101 och 1000 gram.</w:t>
            </w:r>
          </w:p>
          <w:p w14:paraId="336CD80D"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3 § Ett cigarettpaket kan bestå av kartong eller flexibelt material och har ingen öppning som kan stängas eller återförslutas efter den första öppningen, med undantag för den övre gångjärnsförsedda luckan och det lutande locket på en hopfällbar låda. För paket med en övre gångjärnsförsedd lucka och en lutande locköppning ska locket endast ledas på baksidan av styckförpackningen.</w:t>
            </w:r>
          </w:p>
          <w:p w14:paraId="71A93AE5"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4 § Varje produkt och produkt som släpps ut på marknaden ska vara förpackad eller ha yttre förpackning. </w:t>
            </w:r>
          </w:p>
          <w:p w14:paraId="04454AAC"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 xml:space="preserve">   5 § Varje styckförpackning av en produkt ska innehålla en broschyr med information om riskerna med konsumtion av produkten samt information om hur nikotinberoendet bryts. Ministern definierar innehållet i den information som finns i broschyren.</w:t>
            </w:r>
          </w:p>
        </w:tc>
      </w:tr>
      <w:tr w:rsidR="00043ABD" w:rsidRPr="009D28A0" w14:paraId="77551B8C" w14:textId="77777777" w:rsidTr="00A92F66">
        <w:tc>
          <w:tcPr>
            <w:tcW w:w="4431" w:type="dxa"/>
          </w:tcPr>
          <w:p w14:paraId="654A8820"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D0BBDE7" w14:textId="77777777" w:rsidTr="00A92F66">
        <w:tc>
          <w:tcPr>
            <w:tcW w:w="4431" w:type="dxa"/>
          </w:tcPr>
          <w:p w14:paraId="170EC798"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7. Distanserbjudande, försäljning och inköp</w:t>
            </w:r>
          </w:p>
        </w:tc>
      </w:tr>
      <w:tr w:rsidR="00043ABD" w:rsidRPr="009D28A0" w14:paraId="123A2B01" w14:textId="77777777" w:rsidTr="00A92F66">
        <w:tc>
          <w:tcPr>
            <w:tcW w:w="4431" w:type="dxa"/>
          </w:tcPr>
          <w:p w14:paraId="36811CC9" w14:textId="77777777" w:rsidR="00043ABD" w:rsidRPr="009D28A0" w:rsidRDefault="00043ABD" w:rsidP="00043ABD">
            <w:pPr>
              <w:suppressAutoHyphens/>
              <w:spacing w:after="0" w:line="240" w:lineRule="auto"/>
              <w:jc w:val="both"/>
              <w:rPr>
                <w:rFonts w:ascii="Calibri" w:eastAsia="Times New Roman" w:hAnsi="Calibri" w:cs="Calibri"/>
                <w:bCs/>
                <w:lang w:eastAsia="nl-NL"/>
              </w:rPr>
            </w:pPr>
          </w:p>
        </w:tc>
      </w:tr>
      <w:tr w:rsidR="00043ABD" w:rsidRPr="009D28A0" w14:paraId="5DE18486" w14:textId="77777777" w:rsidTr="00A92F66">
        <w:tc>
          <w:tcPr>
            <w:tcW w:w="4431" w:type="dxa"/>
          </w:tcPr>
          <w:p w14:paraId="5C9092FD"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16.</w:t>
            </w:r>
            <w:r w:rsidRPr="009D28A0">
              <w:rPr>
                <w:rFonts w:ascii="Calibri" w:hAnsi="Calibri"/>
              </w:rPr>
              <w:t xml:space="preserve"> 1 § Distanserbjudande, distansförsäljning till konsumenten och konsumentens distansköp av produkter och utrustning är förbjudet.</w:t>
            </w:r>
          </w:p>
          <w:p w14:paraId="3163D4A5"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rPr>
              <w:t xml:space="preserve"> 2 § Genom undantag från punkt 1 är gränsöverskridande distansförsäljning tillåten om den mottagande medlemsstatens lagstiftning tillåter det.</w:t>
            </w:r>
          </w:p>
        </w:tc>
      </w:tr>
      <w:tr w:rsidR="00043ABD" w:rsidRPr="009D28A0" w14:paraId="0A8B1302" w14:textId="77777777" w:rsidTr="00A92F66">
        <w:tc>
          <w:tcPr>
            <w:tcW w:w="4431" w:type="dxa"/>
          </w:tcPr>
          <w:p w14:paraId="2FA5E691"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F1A7B25" w14:textId="77777777" w:rsidTr="00A92F66">
        <w:tc>
          <w:tcPr>
            <w:tcW w:w="4431" w:type="dxa"/>
          </w:tcPr>
          <w:p w14:paraId="1464EE66"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sz w:val="24"/>
              </w:rPr>
              <w:t>KAPITEL 8. Slutbestämmelser</w:t>
            </w:r>
          </w:p>
        </w:tc>
      </w:tr>
      <w:tr w:rsidR="00043ABD" w:rsidRPr="009D28A0" w14:paraId="4D407328" w14:textId="77777777" w:rsidTr="00A92F66">
        <w:tc>
          <w:tcPr>
            <w:tcW w:w="4431" w:type="dxa"/>
          </w:tcPr>
          <w:p w14:paraId="35F32E35"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4687B10E" w14:textId="77777777" w:rsidTr="00A92F66">
        <w:tc>
          <w:tcPr>
            <w:tcW w:w="4431" w:type="dxa"/>
          </w:tcPr>
          <w:p w14:paraId="3C8E9F72"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Sanktioner</w:t>
            </w:r>
          </w:p>
        </w:tc>
      </w:tr>
      <w:tr w:rsidR="00043ABD" w:rsidRPr="009D28A0" w14:paraId="4411E0A9" w14:textId="77777777" w:rsidTr="00A92F66">
        <w:tc>
          <w:tcPr>
            <w:tcW w:w="4431" w:type="dxa"/>
          </w:tcPr>
          <w:p w14:paraId="5EA03B5A"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72AD88C0" w14:textId="77777777" w:rsidTr="00A92F66">
        <w:tc>
          <w:tcPr>
            <w:tcW w:w="4431" w:type="dxa"/>
          </w:tcPr>
          <w:p w14:paraId="7CE47B9F"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lastRenderedPageBreak/>
              <w:t>Artikel 17.</w:t>
            </w:r>
            <w:r w:rsidRPr="009D28A0">
              <w:rPr>
                <w:rFonts w:ascii="Calibri" w:hAnsi="Calibri"/>
              </w:rPr>
              <w:t xml:space="preserve"> 1 § Produkter, tekniska komponenter och anordningar som inte uppfyller bestämmelserna i detta dekret ska anses vara skadliga i den mening som avses i artikel 18 i lagen av den 24 januari 1977 om skydd för konsumenternas hälsa med avseende på livsmedel och andra produkter.</w:t>
            </w:r>
          </w:p>
          <w:p w14:paraId="646786DC"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rPr>
              <w:t xml:space="preserve">  2 § Överträdelser av bestämmelserna i denna förordning ska utredas, registreras, beivras och bestraffas i enlighet med bestämmelserna i ovannämnda lag av den 24 januari 1977.</w:t>
            </w:r>
          </w:p>
        </w:tc>
      </w:tr>
      <w:tr w:rsidR="00043ABD" w:rsidRPr="009D28A0" w14:paraId="49DF7702" w14:textId="77777777" w:rsidTr="00A92F66">
        <w:tc>
          <w:tcPr>
            <w:tcW w:w="4431" w:type="dxa"/>
          </w:tcPr>
          <w:p w14:paraId="06641DFF"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2832D9F6" w14:textId="77777777" w:rsidTr="00A92F66">
        <w:tc>
          <w:tcPr>
            <w:tcW w:w="4431" w:type="dxa"/>
          </w:tcPr>
          <w:p w14:paraId="1CE56A7C"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Upphävande</w:t>
            </w:r>
          </w:p>
        </w:tc>
      </w:tr>
      <w:tr w:rsidR="00043ABD" w:rsidRPr="009D28A0" w14:paraId="59DDB38F" w14:textId="77777777" w:rsidTr="00A92F66">
        <w:tc>
          <w:tcPr>
            <w:tcW w:w="4431" w:type="dxa"/>
          </w:tcPr>
          <w:p w14:paraId="41E06DB6" w14:textId="77777777" w:rsidR="00043ABD" w:rsidRPr="009D28A0"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9D28A0" w14:paraId="5A74DE1C" w14:textId="77777777" w:rsidTr="00A92F66">
        <w:tc>
          <w:tcPr>
            <w:tcW w:w="4431" w:type="dxa"/>
          </w:tcPr>
          <w:p w14:paraId="293E69FD" w14:textId="28AACC6A"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Artikel 18.</w:t>
            </w:r>
            <w:r w:rsidRPr="009D28A0">
              <w:rPr>
                <w:rFonts w:ascii="Calibri" w:hAnsi="Calibri"/>
              </w:rPr>
              <w:t xml:space="preserve"> Den kungliga förordningen av den 5 februari 2016 om tillverkning och utsläppande på marknaden av tobaksvaror och örtprodukter för rökning upphävs </w:t>
            </w:r>
            <w:r w:rsidRPr="009D28A0">
              <w:rPr>
                <w:rFonts w:ascii="Calibri" w:hAnsi="Calibri"/>
                <w:highlight w:val="yellow"/>
              </w:rPr>
              <w:t>den XXX.</w:t>
            </w:r>
          </w:p>
        </w:tc>
      </w:tr>
      <w:tr w:rsidR="00043ABD" w:rsidRPr="009D28A0" w14:paraId="67A64F26" w14:textId="77777777" w:rsidTr="00A92F66">
        <w:tc>
          <w:tcPr>
            <w:tcW w:w="4431" w:type="dxa"/>
          </w:tcPr>
          <w:p w14:paraId="5079B1C9" w14:textId="77777777" w:rsidR="00043ABD" w:rsidRPr="009D28A0" w:rsidRDefault="00043ABD" w:rsidP="00043ABD">
            <w:pPr>
              <w:suppressAutoHyphens/>
              <w:spacing w:after="0" w:line="240" w:lineRule="auto"/>
              <w:jc w:val="both"/>
              <w:rPr>
                <w:rFonts w:ascii="Calibri" w:eastAsia="Times New Roman" w:hAnsi="Calibri" w:cs="Calibri"/>
                <w:b/>
                <w:lang w:eastAsia="nl-NL"/>
              </w:rPr>
            </w:pPr>
          </w:p>
        </w:tc>
      </w:tr>
      <w:tr w:rsidR="00043ABD" w:rsidRPr="009D28A0" w14:paraId="4E341D0D" w14:textId="77777777" w:rsidTr="00A92F66">
        <w:tc>
          <w:tcPr>
            <w:tcW w:w="4431" w:type="dxa"/>
          </w:tcPr>
          <w:p w14:paraId="72374A8E" w14:textId="77777777" w:rsidR="00043ABD" w:rsidRPr="009D28A0" w:rsidRDefault="00043ABD" w:rsidP="005A1CA8">
            <w:pPr>
              <w:keepNext/>
              <w:suppressAutoHyphens/>
              <w:spacing w:after="0" w:line="240" w:lineRule="auto"/>
              <w:jc w:val="both"/>
              <w:rPr>
                <w:rFonts w:ascii="Calibri" w:eastAsia="Times New Roman" w:hAnsi="Calibri" w:cs="Calibri"/>
                <w:b/>
              </w:rPr>
            </w:pPr>
            <w:r w:rsidRPr="009D28A0">
              <w:rPr>
                <w:rFonts w:ascii="Calibri" w:hAnsi="Calibri"/>
                <w:b/>
              </w:rPr>
              <w:t>Övergångsåtgärder</w:t>
            </w:r>
          </w:p>
        </w:tc>
      </w:tr>
      <w:tr w:rsidR="00043ABD" w:rsidRPr="009D28A0" w14:paraId="249A0CEF" w14:textId="77777777" w:rsidTr="00A92F66">
        <w:tc>
          <w:tcPr>
            <w:tcW w:w="4431" w:type="dxa"/>
          </w:tcPr>
          <w:p w14:paraId="404B521E" w14:textId="77777777"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19.</w:t>
            </w:r>
            <w:r w:rsidRPr="009D28A0">
              <w:rPr>
                <w:rFonts w:ascii="Calibri" w:hAnsi="Calibri"/>
              </w:rPr>
              <w:t xml:space="preserve"> Tobaksvaror och örtprodukter för rökning som tillverkas eller släpps ut på marknaden i enlighet med den kungliga förordningen av den 5 februari 2016 om tillverkning och utsläppande på marknaden av tobaksvaror och växtbaserade rökprodukter får släppas ut på marknaden till och med den 31 december 2024. </w:t>
            </w:r>
          </w:p>
        </w:tc>
      </w:tr>
      <w:tr w:rsidR="00043ABD" w:rsidRPr="009D28A0" w14:paraId="2077FE16" w14:textId="77777777" w:rsidTr="00A92F66">
        <w:tc>
          <w:tcPr>
            <w:tcW w:w="4431" w:type="dxa"/>
          </w:tcPr>
          <w:p w14:paraId="44EF03F7"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p>
        </w:tc>
      </w:tr>
      <w:tr w:rsidR="00043ABD" w:rsidRPr="009D28A0" w14:paraId="6B6FE59E" w14:textId="77777777" w:rsidTr="00A92F66">
        <w:tc>
          <w:tcPr>
            <w:tcW w:w="4431" w:type="dxa"/>
          </w:tcPr>
          <w:p w14:paraId="365B664A" w14:textId="77777777" w:rsidR="00043ABD" w:rsidRPr="009D28A0" w:rsidRDefault="00043ABD" w:rsidP="00043ABD">
            <w:pPr>
              <w:suppressAutoHyphens/>
              <w:spacing w:after="0" w:line="240" w:lineRule="auto"/>
              <w:jc w:val="both"/>
              <w:rPr>
                <w:rFonts w:ascii="Calibri" w:eastAsia="Times New Roman" w:hAnsi="Calibri" w:cs="Calibri"/>
                <w:b/>
                <w:bCs/>
                <w:sz w:val="24"/>
                <w:szCs w:val="24"/>
              </w:rPr>
            </w:pPr>
            <w:r w:rsidRPr="009D28A0">
              <w:rPr>
                <w:rFonts w:ascii="Calibri" w:hAnsi="Calibri"/>
                <w:b/>
              </w:rPr>
              <w:t>Ikraftträdande</w:t>
            </w:r>
          </w:p>
        </w:tc>
      </w:tr>
      <w:tr w:rsidR="00043ABD" w:rsidRPr="009D28A0" w14:paraId="3AB48FD5" w14:textId="77777777" w:rsidTr="00A92F66">
        <w:tc>
          <w:tcPr>
            <w:tcW w:w="4431" w:type="dxa"/>
          </w:tcPr>
          <w:p w14:paraId="3EC8DC34" w14:textId="77777777" w:rsidR="00043ABD" w:rsidRPr="009D28A0"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9D28A0" w14:paraId="33AC4803" w14:textId="77777777" w:rsidTr="00A92F66">
        <w:tc>
          <w:tcPr>
            <w:tcW w:w="4431" w:type="dxa"/>
          </w:tcPr>
          <w:p w14:paraId="3BFEA928" w14:textId="367A952F" w:rsidR="00043ABD" w:rsidRPr="009D28A0" w:rsidRDefault="00043ABD" w:rsidP="00043ABD">
            <w:pPr>
              <w:suppressAutoHyphens/>
              <w:spacing w:after="0" w:line="240" w:lineRule="auto"/>
              <w:jc w:val="both"/>
              <w:rPr>
                <w:rFonts w:ascii="Calibri" w:eastAsia="Times New Roman" w:hAnsi="Calibri" w:cs="Calibri"/>
                <w:bCs/>
              </w:rPr>
            </w:pPr>
            <w:r w:rsidRPr="009D28A0">
              <w:rPr>
                <w:rFonts w:ascii="Calibri" w:hAnsi="Calibri"/>
                <w:b/>
              </w:rPr>
              <w:t>Artikel 20.</w:t>
            </w:r>
            <w:r w:rsidRPr="009D28A0">
              <w:rPr>
                <w:rFonts w:ascii="Calibri" w:hAnsi="Calibri"/>
              </w:rPr>
              <w:t xml:space="preserve"> Detta dekret träder i kraft den </w:t>
            </w:r>
            <w:r w:rsidRPr="009D28A0">
              <w:rPr>
                <w:rFonts w:ascii="Calibri" w:hAnsi="Calibri"/>
                <w:highlight w:val="yellow"/>
              </w:rPr>
              <w:t>xxx</w:t>
            </w:r>
            <w:r w:rsidRPr="009D28A0">
              <w:rPr>
                <w:rFonts w:ascii="Calibri" w:hAnsi="Calibri"/>
              </w:rPr>
              <w:t xml:space="preserve"> utom artikel 11 som träder i kraft samma dag som den offentliggörs i Belgiens officiella tidning.</w:t>
            </w:r>
          </w:p>
        </w:tc>
      </w:tr>
      <w:tr w:rsidR="00043ABD" w:rsidRPr="009D28A0" w14:paraId="614F9BF0" w14:textId="77777777" w:rsidTr="00A92F66">
        <w:tc>
          <w:tcPr>
            <w:tcW w:w="4431" w:type="dxa"/>
          </w:tcPr>
          <w:p w14:paraId="735364D1" w14:textId="77777777" w:rsidR="00043ABD" w:rsidRPr="009D28A0" w:rsidRDefault="00043ABD" w:rsidP="00043ABD">
            <w:pPr>
              <w:suppressAutoHyphens/>
              <w:spacing w:after="0" w:line="240" w:lineRule="auto"/>
              <w:jc w:val="both"/>
              <w:rPr>
                <w:rFonts w:ascii="Calibri" w:eastAsia="Times New Roman" w:hAnsi="Calibri" w:cs="Calibri"/>
                <w:sz w:val="24"/>
                <w:szCs w:val="24"/>
              </w:rPr>
            </w:pPr>
            <w:r w:rsidRPr="009D28A0">
              <w:rPr>
                <w:rFonts w:ascii="Calibri" w:hAnsi="Calibri"/>
                <w:b/>
              </w:rPr>
              <w:t>Artikel 21.</w:t>
            </w:r>
            <w:r w:rsidRPr="009D28A0">
              <w:rPr>
                <w:rFonts w:ascii="Calibri" w:hAnsi="Calibri"/>
              </w:rPr>
              <w:t xml:space="preserve"> Folkhälsoministern ska ansvara för genomförandet av denna förordning.</w:t>
            </w:r>
            <w:r w:rsidRPr="009D28A0">
              <w:rPr>
                <w:rFonts w:ascii="Calibri" w:hAnsi="Calibri"/>
                <w:sz w:val="24"/>
              </w:rPr>
              <w:t xml:space="preserve"> </w:t>
            </w:r>
          </w:p>
        </w:tc>
      </w:tr>
      <w:tr w:rsidR="00043ABD" w:rsidRPr="009D28A0" w14:paraId="0D3DF887" w14:textId="77777777" w:rsidTr="00A92F66">
        <w:tc>
          <w:tcPr>
            <w:tcW w:w="4431" w:type="dxa"/>
          </w:tcPr>
          <w:p w14:paraId="461E2353" w14:textId="77777777" w:rsidR="00043ABD" w:rsidRPr="009D28A0"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9D28A0" w14:paraId="08AC1CAA" w14:textId="77777777" w:rsidTr="00A92F66">
        <w:tc>
          <w:tcPr>
            <w:tcW w:w="4431" w:type="dxa"/>
          </w:tcPr>
          <w:p w14:paraId="1D741090" w14:textId="77777777" w:rsidR="00043ABD" w:rsidRPr="009D28A0" w:rsidRDefault="00043ABD" w:rsidP="00043ABD">
            <w:pPr>
              <w:suppressAutoHyphens/>
              <w:spacing w:after="0" w:line="240" w:lineRule="auto"/>
              <w:jc w:val="both"/>
              <w:rPr>
                <w:rFonts w:ascii="Calibri" w:eastAsia="Times New Roman" w:hAnsi="Calibri" w:cs="Calibri"/>
              </w:rPr>
            </w:pPr>
            <w:r w:rsidRPr="009D28A0">
              <w:rPr>
                <w:rFonts w:ascii="Calibri" w:hAnsi="Calibri"/>
              </w:rPr>
              <w:t>Avgivet vid (Plats), den (datum),</w:t>
            </w:r>
          </w:p>
        </w:tc>
      </w:tr>
      <w:tr w:rsidR="00043ABD" w:rsidRPr="009D28A0" w14:paraId="5DFDDFB9" w14:textId="77777777" w:rsidTr="00A92F66">
        <w:trPr>
          <w:trHeight w:val="1170"/>
        </w:trPr>
        <w:tc>
          <w:tcPr>
            <w:tcW w:w="4431" w:type="dxa"/>
          </w:tcPr>
          <w:p w14:paraId="4DD449A6" w14:textId="77777777" w:rsidR="00043ABD" w:rsidRPr="009D28A0"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9D28A0" w:rsidRDefault="00043ABD" w:rsidP="00043ABD">
            <w:pPr>
              <w:suppressAutoHyphens/>
              <w:spacing w:after="0" w:line="240" w:lineRule="auto"/>
              <w:jc w:val="both"/>
              <w:rPr>
                <w:rFonts w:ascii="Calibri" w:eastAsia="Times New Roman" w:hAnsi="Calibri" w:cs="Calibri"/>
                <w:sz w:val="24"/>
                <w:szCs w:val="24"/>
              </w:rPr>
            </w:pPr>
          </w:p>
        </w:tc>
      </w:tr>
      <w:tr w:rsidR="00043ABD" w:rsidRPr="009D28A0" w14:paraId="6C2C4516" w14:textId="77777777" w:rsidTr="00A92F66">
        <w:tc>
          <w:tcPr>
            <w:tcW w:w="4431" w:type="dxa"/>
          </w:tcPr>
          <w:p w14:paraId="6F7CAF98" w14:textId="77777777" w:rsidR="00043ABD" w:rsidRPr="009D28A0" w:rsidRDefault="00043ABD" w:rsidP="00043ABD">
            <w:pPr>
              <w:suppressAutoHyphens/>
              <w:spacing w:after="0" w:line="240" w:lineRule="auto"/>
              <w:jc w:val="center"/>
              <w:rPr>
                <w:rFonts w:ascii="Calibri" w:eastAsia="Times New Roman" w:hAnsi="Calibri" w:cs="Calibri"/>
                <w:sz w:val="24"/>
                <w:szCs w:val="24"/>
              </w:rPr>
            </w:pPr>
            <w:r w:rsidRPr="009D28A0">
              <w:rPr>
                <w:rFonts w:ascii="Calibri" w:hAnsi="Calibri"/>
                <w:sz w:val="24"/>
              </w:rPr>
              <w:t>å konungens vägnar:</w:t>
            </w:r>
          </w:p>
          <w:p w14:paraId="1D694FEF" w14:textId="77777777" w:rsidR="00043ABD" w:rsidRPr="009D28A0" w:rsidRDefault="00043ABD" w:rsidP="00043ABD">
            <w:pPr>
              <w:suppressAutoHyphens/>
              <w:spacing w:after="0" w:line="240" w:lineRule="auto"/>
              <w:jc w:val="center"/>
              <w:rPr>
                <w:rFonts w:ascii="Calibri" w:eastAsia="Times New Roman" w:hAnsi="Calibri" w:cs="Calibri"/>
                <w:sz w:val="24"/>
                <w:szCs w:val="24"/>
              </w:rPr>
            </w:pPr>
          </w:p>
        </w:tc>
      </w:tr>
      <w:tr w:rsidR="00043ABD" w:rsidRPr="009D28A0" w14:paraId="0D94DD3C" w14:textId="77777777" w:rsidTr="00A92F66">
        <w:tc>
          <w:tcPr>
            <w:tcW w:w="4431" w:type="dxa"/>
          </w:tcPr>
          <w:p w14:paraId="79633ED8" w14:textId="77777777" w:rsidR="00043ABD" w:rsidRPr="009D28A0" w:rsidRDefault="00043ABD" w:rsidP="00043ABD">
            <w:pPr>
              <w:suppressAutoHyphens/>
              <w:spacing w:after="0" w:line="240" w:lineRule="auto"/>
              <w:jc w:val="center"/>
              <w:rPr>
                <w:rFonts w:ascii="Calibri" w:eastAsia="Times New Roman" w:hAnsi="Calibri" w:cs="Calibri"/>
                <w:sz w:val="24"/>
                <w:szCs w:val="24"/>
              </w:rPr>
            </w:pPr>
            <w:r w:rsidRPr="009D28A0">
              <w:rPr>
                <w:rFonts w:ascii="Calibri" w:hAnsi="Calibri"/>
                <w:sz w:val="24"/>
              </w:rPr>
              <w:t>Folkhälsoministern,</w:t>
            </w:r>
          </w:p>
          <w:p w14:paraId="6F6EED5C" w14:textId="77777777" w:rsidR="00043ABD" w:rsidRPr="009D28A0"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9D28A0"/>
    <w:rsid w:val="00A0596D"/>
    <w:rsid w:val="00C657F7"/>
    <w:rsid w:val="00CD028E"/>
    <w:rsid w:val="00D02C9C"/>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sv-SE"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sv-SE"/>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sv-SE"/>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sv-SE"/>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sv-SE"/>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6042</Words>
  <Characters>34442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2023-05-11T10:27:00Z</dcterms:modified>
</cp:coreProperties>
</file>