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ab/>
      </w:r>
      <w:r>
        <w:rPr>
          <w:b/>
        </w:rPr>
        <w:tab/>
        <w:t>kuningliku dekreedi eelnõu, millega muudetakse tehnilist ehitusseadustikku, mis kiideti heaks 17. märtsi kuningliku dekreediga 314/2006</w:t>
      </w:r>
    </w:p>
    <w:p w14:paraId="42548872" w14:textId="172DDCC5" w:rsidR="005074AB" w:rsidRPr="003934E5" w:rsidRDefault="005074AB" w:rsidP="005074AB">
      <w:pPr>
        <w:jc w:val="both"/>
        <w:rPr>
          <w:rFonts w:cstheme="minorHAnsi"/>
        </w:rPr>
      </w:pPr>
      <w:r>
        <w:t>5. novembri 1999. aasta seadus nr 38/1999 ehituseeskirjade kohta määratleb tehnilise ehitusseadustiku reguleeriva raamistikuna, mis kehtestab ehitistele ja nende sisseseadetele põhilised kvaliteedinõuded ning võimaldab täita artiklis 3 sätestatud põhinõudeid. Selle seadusega ette nähtud tehniline ehitusseadustik kiideti heaks 17. märtsi 2006. aasta kuningliku dekreediga 314/2006. Ehitusseadustiku II osa moodustavad alusdokumendid sätestavad ja vajaduse korral kvantifitseerivad I osas sätestatud põhinõuded ning kehtestavad tulemuseesmärgid või piirmäärad või muud parameetrid. Eelkõige on DB-HE alusdokumendis „Energiasääst“ täpsustatud ja kvantifitseeritud energiatõhususe nõudeid, mida uued hooned peavad täitma, ning meetmed olemasolevatele hoonetele.</w:t>
      </w:r>
    </w:p>
    <w:p w14:paraId="400360D8" w14:textId="77777777" w:rsidR="005074AB" w:rsidRPr="003934E5" w:rsidRDefault="005074AB" w:rsidP="005074AB">
      <w:pPr>
        <w:jc w:val="both"/>
        <w:rPr>
          <w:rFonts w:cstheme="minorHAnsi"/>
        </w:rPr>
      </w:pPr>
      <w:r>
        <w:t>30. mail 2018 võeti vastu Euroopa Parlamendi ja nõukogu direktiiv (EL) 2018/844, millega muudetakse direktiivi 2010/31/EL hoonete energiatõhususe kohta ja direktiivi 2012/27/EL, milles käsitletakse energiatõhusust.</w:t>
      </w:r>
    </w:p>
    <w:p w14:paraId="0B5B2276" w14:textId="142A5C6B" w:rsidR="005A6E61" w:rsidRPr="003934E5" w:rsidRDefault="005074AB" w:rsidP="005A6E61">
      <w:pPr>
        <w:jc w:val="both"/>
        <w:rPr>
          <w:rFonts w:cstheme="minorHAnsi"/>
        </w:rPr>
      </w:pPr>
      <w:r>
        <w:t>Käesoleva direktiiviga kehtestatakse tingimused, mille alusel arendada hoonete parklates elektrisõidukite arukaks laadimiseks vajalikku minimaalset taristut. Seega on nii ehitus- kui ka liikuvussektor majanduse üldise CO</w:t>
      </w:r>
      <w:r>
        <w:rPr>
          <w:vertAlign w:val="subscript"/>
        </w:rPr>
        <w:t>2</w:t>
      </w:r>
      <w:r>
        <w:t>-heite vähendamise seisukohast strateegilised valdkonnad, millel on õigusraamistik, mille eesmärk on edendada innovatsiooni, jätkusuutlikkust ja energiatõhusust nendes sektorites.</w:t>
      </w:r>
    </w:p>
    <w:p w14:paraId="4245C855" w14:textId="1828DE90" w:rsidR="005A6E61" w:rsidRPr="003934E5" w:rsidRDefault="005A6E61" w:rsidP="005A6E61">
      <w:pPr>
        <w:jc w:val="both"/>
        <w:rPr>
          <w:rFonts w:cstheme="minorHAnsi"/>
        </w:rPr>
      </w:pPr>
      <w:r>
        <w:t>Elektrisõidukite aruka laadimise taristu arendamine omakorda aitab kaasa energiajuhtimisele ja paindlikkusele, taastuvate energiaallikate kasutamisele ja õhukvaliteedi parandamisele ning optimeerib selle energiatõhusust, kuna muudab hooned digitaalsemaks ja kaasab valdkonna uusi tehnoloogiaid.</w:t>
      </w:r>
    </w:p>
    <w:p w14:paraId="45A016F5" w14:textId="74A214E6" w:rsidR="005A6E61" w:rsidRPr="003934E5" w:rsidRDefault="005A6E61" w:rsidP="005A6E61">
      <w:pPr>
        <w:jc w:val="both"/>
        <w:rPr>
          <w:rFonts w:cstheme="minorHAnsi"/>
        </w:rPr>
      </w:pPr>
      <w:r>
        <w:t xml:space="preserve">Hispaania poolt Euroopa Komisjonile esitatud lõimitud riiklikus energia- ja kliimakavas aastateks 2021–2030 (PNIEC) on omalt poolt ette nähtud elektrilise liikuvuse edendamine energiatarbimise ja sõidukite heite vähendamise meetmena, kus kohandatakse õigusnorme ja võetakse üle Euroopa Liidu õigus, mis võimaldab võtta kasutusele elektrisõidukite laadimistaristu kooskõlas sõidukipargi elektrifitseerimise arenguga, samuti muude julgustamis- ja toetusmehhanismide kaudu. </w:t>
      </w:r>
    </w:p>
    <w:p w14:paraId="3BF925DC" w14:textId="3FA9F544" w:rsidR="00A75681" w:rsidRPr="000E4F56" w:rsidRDefault="00C33374" w:rsidP="00A75681">
      <w:pPr>
        <w:jc w:val="both"/>
        <w:rPr>
          <w:rFonts w:cstheme="minorHAnsi"/>
        </w:rPr>
      </w:pPr>
      <w:r>
        <w:t>Nende eesmärkide saavutamiseks ja sellega seoses direktiivi osaliseks ülevõtmiseks lisatakse käesoleva kuningliku dekreediga tehnilisse ehitusseadustikku uus energia säästmise põhinõue, mis on seotud elektrisõidukite laadimistaristu minimaalsete eraldistega, mida arendatakse energia säästmise põhidokumendi uues jaos HE 6 „Elektrisõidukite minimaalsed laadimistaristu rajatised“. Selleks et tagada ligipääsetavates parkimiskohtades laadimispunktide juurdepääsetavus, muudetakse alusdokumenti DB-SUA „Kasutusohutus ja juurdepääsetavus“.</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t xml:space="preserve">Vastavalt 20. mai seaduse 7/2021 (kliimamuutuste ja energiasüsteemi ümberkujundamise kohta) sätetele on 17. märtsi 2006. aasta kuningliku dekreedi 314/2006, millega kiidetakse heaks tehniline ehitusseadustik, üheainsa lisasättega kehtestatud järgmised nõuded elektrisõidukite laadimistaristu kohta olemasolevates hoonetes, mis ei ole ette nähtud isikliku eluasemena kasutamiseks ja millel on üle 20 parkimiskohaga parkimisala kas sise- või selleks </w:t>
      </w:r>
      <w:r>
        <w:lastRenderedPageBreak/>
        <w:t xml:space="preserve">määratud välispinnal ja mis ei kuulu energiasäästu alusdokumendi jaotise HE6 kohaldamisalasse. 20. mai 2021. aasta seadusega 7/2021, mis käsitleb kliimamuutusi ja energiasüsteemi ümberkujundamist, on kehtestatud kohustus jõustada see tehnilises ehitusseadustikus määratletud säte enne 1. jaanuari 2023. </w:t>
      </w:r>
    </w:p>
    <w:p w14:paraId="1192FDEB" w14:textId="77777777" w:rsidR="005074AB" w:rsidRPr="009064BC" w:rsidRDefault="005074AB" w:rsidP="005074AB">
      <w:pPr>
        <w:jc w:val="both"/>
        <w:rPr>
          <w:rFonts w:cstheme="minorHAnsi"/>
        </w:rPr>
      </w:pPr>
      <w:r>
        <w:t>Elektrisõidukite laadimistaristute reguleerimise lõpuleviimiseks muudetakse 12. detsembri kuningliku dekreediga 1053/2014 heaks kiidetud madalpingeelektrotehnika eeskirja täiendavat tehnilist juhendit (ITC) BT-52 ja muudetakse muid täiendavaid tehnilisi juhiseid.</w:t>
      </w:r>
    </w:p>
    <w:p w14:paraId="53205125" w14:textId="62D4F2A6" w:rsidR="005A6E61" w:rsidRPr="009064BC" w:rsidRDefault="005074AB" w:rsidP="005A6E61">
      <w:pPr>
        <w:jc w:val="both"/>
        <w:rPr>
          <w:rFonts w:cstheme="minorHAnsi"/>
        </w:rPr>
      </w:pPr>
      <w:r>
        <w:t xml:space="preserve">Lisaks nähakse taastuvenergia edendamise, tootmissektorite konkurentsivõime parandamise ja tarbijate energia haldamisse suurema kaasamise meetmena ette, et PNIEC arendaks taastuvenergiaga seotud isetarbimist ning jaotataks tootmine elamumajandus- ja ärivaldkondades. </w:t>
      </w:r>
    </w:p>
    <w:p w14:paraId="4F23D1D3" w14:textId="56BE7436" w:rsidR="005074AB" w:rsidRPr="009064BC" w:rsidRDefault="005A6E61" w:rsidP="005074AB">
      <w:pPr>
        <w:jc w:val="both"/>
        <w:rPr>
          <w:rFonts w:cstheme="minorHAnsi"/>
        </w:rPr>
      </w:pPr>
      <w:r>
        <w:t xml:space="preserve">Sellega seoses on 5. aprilli 2019. aasta kuningliku dekreedi 244/2019 (millega reguleeritakse elektrienergia omatarbimise haldus-, tehnilisi ja majanduslikke tingimusi) heakskiitmine võimaldanud muu hulgas kollektiivset omatarbimist ja samal ajal vähendanud omatarbimise teostamise haldusmenetlusi. Seepärast leitakse, et praegune õigusraamistik võimaldab laiendada põhinõude HE 5 kohaldamisala seoses minimaalse elektritootmisega ning muudab selle kohaldatavaks nii isikliku eluasemena kasutamiseks mõeldud hoonetes kui ka alandades nõuet täitvate hoonete ehituspinna künnist kõigi kasutusotstarvetega hoonetes, mille kohta nõue kehtib. </w:t>
      </w:r>
    </w:p>
    <w:p w14:paraId="2C3560FF" w14:textId="60FA6548" w:rsidR="005074AB" w:rsidRDefault="005074AB" w:rsidP="005074AB">
      <w:pPr>
        <w:jc w:val="both"/>
        <w:rPr>
          <w:rFonts w:cstheme="minorHAnsi"/>
        </w:rPr>
      </w:pPr>
      <w:r>
        <w:t>Peale selle, kuna märgati vigu ja trükivigu 20. detsembri kuninglikus dekreedis 732/2019, millega muudeti 17. märtsi kuningliku dekreediga 314/2006 kinnitatud tehnilist ehitusseadustikku, mis avaldati ajakirjas „BOE“ nr 311, 27. detsember 2019, tehakse käesolevaga asjakohased parandused. Selleks et selgitada alusdokumendi DB-HE „Energiasääst“ kohaldamise viisi pärast selle ajakohastamist eespool nimetatud kuningliku dekreediga 732/2019, peetakse vajalikuks muuta energianõudluse kontrollimise tingimusi käsitleva jaotise HE 1 ja eespool nimetatud alusdokumendi A lisa terminoloogiat.</w:t>
      </w:r>
    </w:p>
    <w:p w14:paraId="010C68C8" w14:textId="6D1CCB96" w:rsidR="00E26B23" w:rsidRDefault="00E26B23" w:rsidP="00B65F28">
      <w:pPr>
        <w:jc w:val="both"/>
        <w:rPr>
          <w:rFonts w:cstheme="minorHAnsi"/>
          <w:bCs/>
        </w:rPr>
      </w:pPr>
      <w:r>
        <w:t xml:space="preserve">Tehnilise ehitusseadustiku muudatus seoses energia säästmist käsitleva põhidokumendi uue jaotise HE 6 „Miinimumsätted elektrisõidukite laadimistaristu kohta“ lisamisega ning 12. detsembri kuningliku dekreedi 1053/2014 muutmine, millega kiidetakse heaks uus täiendav tehniline juhend BT 52, mis sisaldub esimeses lõppsättes, ning 17. märtsi kuningliku dekreedi 314/2006, millega kiidetakse heaks tehniline ehitusseadustik, ainus lisasäte on osa taastamis-, ümberehitus- ja vastupidavuskavas kavandatud õigusreformidest. Saasteainete heite- ja ülekanderegistri 1. komponent „Jätkusuutliku, ohutu ja ühendatud liikumisšoki kava linna- ja suurlinnapiirkondades“ hõlmab kõnealuse kuningliku dekreedi heakskiitmist, millega rakendatakse eespool nimetatud õigusreforme C1.R1 reformi raames, mille nimi on „Laadimistaristu kasutuselevõtu ja elektrisõidukite edendamise kava“.  C1.R1 reform on kavandatud õiguslikuks, regulatiivseks ja strateegiliseks raamistikuks, et hõlbustada laadimistaristu kasutuselevõttu elektrisõidukite edendamiseks Hispaanias, ning sellel on kaks vahe-eesmärki. Esimene neist on moodustatud 19. veebruari 1997. aasta määrusega TMA/178/2020, millega muudetakse 16. detsembri 1997. aasta määrust, millega reguleeritakse juurdepääsu riiklikele teedele, teenindusteedele ja teenindusrajatiste ehitamist, ning 23. juuni kuningliku dekreet-seadusega 23/2020, millega kiidetakse heaks meetmed energia ja muude piirkondade majanduse elavdamiseks. Reformi C1.R1 teine vahe-eesmärk hõlmab kõnealuse </w:t>
      </w:r>
      <w:r>
        <w:lastRenderedPageBreak/>
        <w:t xml:space="preserve">kuningliku dekreedi (millega muudetakse tehnilist ehitusseadustikku) ja 12. detsembri kuningliku dekreedi 1053/2014 heakskiitmist, millega kiideti heaks uus täiendav tehniline juhend BT 52.  Reform C1.R1 on seotud investeeringuga C1.I2 „Ergutuskava laadimispunktide paigaldamiseks, elektri- ja kütuseelemendiga sõidukite soetamiseks ning innovatsiooniks elektromobiilsuse, laadimise ja rohelise vesiniku valdkonnas“. See investeering hõlmab 13. aprilli kuninglikus dekreedis 266/2021, millega kiidetakse heaks abi andmine Ceuta ja Melilla autonoomsetele piirkondadele ning linnadele elektritranspordiga seotud stimuleerimiskavade rakendamiseks (MOVES III), sätestatud abiliine laadimisjaamade rajamiseks saasteainete heite- ja ülekanderegistri raames. </w:t>
      </w:r>
    </w:p>
    <w:p w14:paraId="65C24996" w14:textId="1073EF13" w:rsidR="003F7C25" w:rsidRPr="001C78CB" w:rsidRDefault="003F7C25" w:rsidP="005074AB">
      <w:pPr>
        <w:jc w:val="both"/>
        <w:rPr>
          <w:rFonts w:cstheme="minorHAnsi"/>
          <w:bCs/>
          <w:i/>
          <w:iCs/>
        </w:rPr>
      </w:pPr>
      <w:r>
        <w:t xml:space="preserve">Käesolevas kuninglikus dekreedis austatakse (ei tekita olulist kahju) põhimõtet ning kliima- ja digimärgistuse tingimusi kooskõlas saasteainete heite- ja ülekanderegistri sätetega, Euroopa Parlamendi ja nõukogu 12. veebruari 2021. aasta määrusega (EL) nr 2021/241, millega kehtestatakse vastupidavus- ja taastemehhanism, ning selle rakendusaktidega, eelkõige komisjoni tehniliste suunistega vastupanuvõime- ja taastemehhanismi määruse kohase märkimisväärse kahju vältimise põhimõtte kohaldamise kohta ning nõukogu rakendusotsuse nõuetega Hispaania taaste-, ümberkujundamis- ja vastupidavuskava hindamise heakskiitmise kohta. See hõlmab vastavust konkreetsetele tingimustele, mis on sätestatud 1. komponendis ja reformis nr 1, milles käesolev kuninglik dekreet on ette nähtud, nii põhimõtte „ei kahjusta oluliselt“ ning kliima- ja digimärgistuse osas, eelkõige saasteainete heite- ja ülekanderegistri komponendi dokumendi 3., 6. ja 8. jaotises. Saasteainete heite- ja ülekanderegistri investeeringud C1.I2, mis on seotud reformiga C1.R1, järgivad ka põhimõtet, et keskkonda ning kliima- ja digimärgistuse tingimusi ei tohi oluliselt kahjustada. </w:t>
      </w:r>
    </w:p>
    <w:p w14:paraId="16D6EC35" w14:textId="6F02251C" w:rsidR="005074AB" w:rsidRPr="009064BC" w:rsidRDefault="005074AB" w:rsidP="005074AB">
      <w:pPr>
        <w:ind w:left="13"/>
        <w:jc w:val="both"/>
        <w:rPr>
          <w:rFonts w:cstheme="minorHAnsi"/>
        </w:rPr>
      </w:pPr>
      <w:r>
        <w:t>Käesolev kuninglik dekreet on kooskõlas vajalikkuse, tõhususe, proportsionaalsuse, õiguskindluse, läbipaistvuse ja tõhususe põhimõtetega, mis on sätestatud 1. oktoobri 2015. aasta seaduse 39/2015 (avalike haldusasutuste ühise haldusmenetluse kohta) artiklis 129. Vajalikkuse ja tõhususe põhimõtete osas vastab seadus Euroopa direktiivide siseriiklikku õigusesse ülevõtmise kohustusele ning on kooskõlas üldist huvi pakkuvate eesmärkidega, nagu ehitustaristu kohandamine säästva liikuvuse ja taastuvenergia kasutamise edendamiseks. See toob kaasa heaolu ühiskonnas ja kaitseb keskkonda. Käesolev kuninglik dekreet on kooskõlas ka proportsionaalsuse põhimõttega, kuna see näeb ette vajalikud ja piisavad vahendid direktiivis ette nähtud õigusliku volituse rakendamiseks, kuid ei nõua uuendusi, mis võivad olla tarbetud või ületavad õiguslikke nõudeid, samuti ei piira see kodanike õigusi. See määrus vastab õiguskindluse põhimõttele, kuna see töötati välja vastavalt 27. novembri 1997. aasta valitsuse seaduses 50/1997 määratletud menetlustele, ning läbipaistvuse põhimõttele, kuna selles on selgelt määratletud selle eesmärk ja selle seletuskiri selgitab selle sisu täies ulatuses. Lõpuks vastab see ka tõhususe põhimõttele, sest sellega ei kaasne mingit halduskoormust.</w:t>
      </w:r>
    </w:p>
    <w:p w14:paraId="4E30715D" w14:textId="77777777" w:rsidR="005074AB" w:rsidRPr="009064BC" w:rsidRDefault="005074AB" w:rsidP="005074AB">
      <w:pPr>
        <w:jc w:val="both"/>
        <w:rPr>
          <w:rFonts w:cstheme="minorHAnsi"/>
        </w:rPr>
      </w:pPr>
      <w:r>
        <w:t>Selle üldsätte suhtes kohaldatakse Euroopa Parlamendi ja nõukogu 9. septembri 2015. aasta direktiivis (EL) 2015/1535 ning 31. juuli 1999. aasta kuninglikus dekreedis 1337/1999 sätestatud teavitamismenetlust tehniliste eeskirjade ja infoühiskonna teenuste eeskirjade valdkonnas.</w:t>
      </w:r>
    </w:p>
    <w:p w14:paraId="533AAB8D" w14:textId="741A459B" w:rsidR="003C546E" w:rsidRDefault="003C546E" w:rsidP="003C546E">
      <w:pPr>
        <w:jc w:val="both"/>
        <w:rPr>
          <w:rFonts w:cstheme="minorHAnsi"/>
        </w:rPr>
      </w:pPr>
      <w:r>
        <w:t>Sellest tulenevalt transpordi-, liikuvus- ja linnade tegevuskava ministri ning valitsuse kolmanda asepeaministri ning ökoloogilise ülemineku ja demograafiliste väljakutsete ministri ettepanekul kokkuleppel riiginõukoguga ja pärast ministrite nõukogus toimunud arutelusid</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lastRenderedPageBreak/>
        <w:t>ANTAKSE VÄLJA ALLJÄRGNEV DEKREET.</w:t>
      </w:r>
    </w:p>
    <w:p w14:paraId="29194849" w14:textId="17EA67F9" w:rsidR="005074AB" w:rsidRPr="0033081E" w:rsidRDefault="002A5A94" w:rsidP="005074AB">
      <w:pPr>
        <w:jc w:val="both"/>
        <w:rPr>
          <w:rFonts w:cstheme="minorHAnsi"/>
          <w:bCs/>
          <w:i/>
          <w:iCs/>
        </w:rPr>
      </w:pPr>
      <w:r>
        <w:t xml:space="preserve">Üks artikkel. </w:t>
      </w:r>
      <w:r>
        <w:rPr>
          <w:i/>
        </w:rPr>
        <w:t>Tehnilise ehitusseadustiku muudatus, mis kiideti heaks 17. märtsi 2006. aasta kuningliku dekreediga 314/2006.</w:t>
      </w:r>
    </w:p>
    <w:p w14:paraId="49F6DB5C" w14:textId="77777777" w:rsidR="005074AB" w:rsidRPr="009064BC" w:rsidRDefault="005074AB" w:rsidP="005074AB">
      <w:pPr>
        <w:jc w:val="both"/>
        <w:rPr>
          <w:rFonts w:cstheme="minorHAnsi"/>
        </w:rPr>
      </w:pPr>
      <w:r>
        <w:t>17. märtsi 2006. aasta kuninglikku dekreeti 314/2006, millega kiidetakse heaks tehniline ehitusseadustik, muudetakse järgmiselt:</w:t>
      </w:r>
    </w:p>
    <w:p w14:paraId="1E4A23CD" w14:textId="3CA20F16" w:rsidR="005074AB" w:rsidRPr="009064BC" w:rsidRDefault="005074AB" w:rsidP="005074AB">
      <w:pPr>
        <w:ind w:left="567" w:hanging="567"/>
        <w:jc w:val="both"/>
        <w:rPr>
          <w:rFonts w:cstheme="minorHAnsi"/>
        </w:rPr>
      </w:pPr>
      <w:r>
        <w:t>Esiteks. Tehnilise ehitusseadustiku I osa muudetakse järgmiselt:</w:t>
      </w:r>
    </w:p>
    <w:p w14:paraId="7B36765A" w14:textId="6C7BF234" w:rsidR="006B44D8" w:rsidRPr="009064BC" w:rsidRDefault="006B44D8" w:rsidP="0033081E">
      <w:pPr>
        <w:ind w:left="142" w:hanging="142"/>
        <w:jc w:val="both"/>
        <w:rPr>
          <w:rFonts w:cstheme="minorHAnsi"/>
        </w:rPr>
      </w:pPr>
      <w:r>
        <w:t>– Sisukorras nimetus „15.6. Põhinõue HE5: Minimaalne elektritootmine“ asendatakse järgmisega:</w:t>
      </w:r>
    </w:p>
    <w:p w14:paraId="750B02FB" w14:textId="5E773080" w:rsidR="006B44D8" w:rsidRPr="009064BC" w:rsidRDefault="006B44D8" w:rsidP="00F11565">
      <w:pPr>
        <w:ind w:left="426"/>
        <w:jc w:val="both"/>
        <w:rPr>
          <w:rFonts w:cstheme="minorHAnsi"/>
        </w:rPr>
      </w:pPr>
      <w:r>
        <w:t>„15.6. Põhinõue HE5: Jaotis HE5 Elektrienergia minimaalne tootmine taastuvatest energiaallikatest.“</w:t>
      </w:r>
    </w:p>
    <w:p w14:paraId="0B75EAC4" w14:textId="77777777" w:rsidR="006B44D8" w:rsidRPr="009064BC" w:rsidRDefault="006B44D8" w:rsidP="006B44D8">
      <w:pPr>
        <w:numPr>
          <w:ilvl w:val="0"/>
          <w:numId w:val="9"/>
        </w:numPr>
        <w:ind w:left="142" w:hanging="142"/>
        <w:jc w:val="both"/>
        <w:rPr>
          <w:rFonts w:cstheme="minorHAnsi"/>
        </w:rPr>
      </w:pPr>
      <w:r>
        <w:t>Artikli 15 viitesse lisatakse järgmine punkt:</w:t>
      </w:r>
    </w:p>
    <w:p w14:paraId="1C1AB680" w14:textId="1D8C7D23" w:rsidR="006B44D8" w:rsidRPr="009064BC" w:rsidRDefault="007E461E" w:rsidP="00F11565">
      <w:pPr>
        <w:ind w:left="426"/>
        <w:jc w:val="both"/>
        <w:rPr>
          <w:rFonts w:cstheme="minorHAnsi"/>
        </w:rPr>
      </w:pPr>
      <w:r>
        <w:t>„15.7. Põhinõue HE6: Elektrisõidukite laadimistaristu miinimumseadmed.</w:t>
      </w:r>
    </w:p>
    <w:p w14:paraId="03B3513D" w14:textId="1133ED17" w:rsidR="001E31F3" w:rsidRPr="002C30D6" w:rsidRDefault="005074AB" w:rsidP="005074AB">
      <w:pPr>
        <w:numPr>
          <w:ilvl w:val="0"/>
          <w:numId w:val="9"/>
        </w:numPr>
        <w:ind w:left="142" w:hanging="142"/>
        <w:jc w:val="both"/>
        <w:rPr>
          <w:rFonts w:cstheme="minorHAnsi"/>
        </w:rPr>
      </w:pPr>
      <w:r>
        <w:t>3. peatüki artikli 15 punkt 15.6 muudetakse ja sõnastatakse järgmiselt:</w:t>
      </w:r>
    </w:p>
    <w:p w14:paraId="1E36A006" w14:textId="3C6E29CB" w:rsidR="001E31F3" w:rsidRPr="009064BC" w:rsidRDefault="00F11565" w:rsidP="00F11565">
      <w:pPr>
        <w:pStyle w:val="ListParagraph"/>
        <w:ind w:left="426"/>
        <w:jc w:val="both"/>
        <w:rPr>
          <w:rFonts w:cstheme="minorHAnsi"/>
        </w:rPr>
      </w:pPr>
      <w:r>
        <w:t>„15.6 Põhinõue HE 5: Taastuvatest energiaallikatest elektri minimaalne tootmine.</w:t>
      </w:r>
    </w:p>
    <w:p w14:paraId="4799EB9C" w14:textId="22AE3D4A" w:rsidR="001E31F3" w:rsidRPr="009064BC" w:rsidRDefault="001B0467" w:rsidP="00F11565">
      <w:pPr>
        <w:ind w:left="426"/>
        <w:jc w:val="both"/>
        <w:rPr>
          <w:rFonts w:cstheme="minorHAnsi"/>
        </w:rPr>
      </w:pPr>
      <w:r>
        <w:t>Hoonetes peavad olema taastuvatest energiaallikatest elektritootmissüsteemid oma tarbeks või võrguga varustamiseks.“</w:t>
      </w:r>
    </w:p>
    <w:p w14:paraId="799517C6" w14:textId="6A449415" w:rsidR="005074AB" w:rsidRPr="009064BC" w:rsidRDefault="001E31F3" w:rsidP="005074AB">
      <w:pPr>
        <w:numPr>
          <w:ilvl w:val="0"/>
          <w:numId w:val="9"/>
        </w:numPr>
        <w:ind w:left="142" w:hanging="142"/>
        <w:jc w:val="both"/>
        <w:rPr>
          <w:rFonts w:cstheme="minorHAnsi"/>
        </w:rPr>
      </w:pPr>
      <w:r>
        <w:t>Artikli 15 lõppu lisatakse järgmine tekst:</w:t>
      </w:r>
    </w:p>
    <w:p w14:paraId="67BDEE2E" w14:textId="77777777" w:rsidR="005074AB" w:rsidRPr="009064BC" w:rsidRDefault="005074AB" w:rsidP="00F11565">
      <w:pPr>
        <w:ind w:left="426"/>
        <w:jc w:val="both"/>
        <w:rPr>
          <w:rFonts w:cstheme="minorHAnsi"/>
        </w:rPr>
      </w:pPr>
      <w:r>
        <w:t>„15.7 Põhinõue HE 6: Elektrisõidukite laadimistaristu miinimumseadmed.</w:t>
      </w:r>
    </w:p>
    <w:p w14:paraId="7C67403C" w14:textId="535BDE0B" w:rsidR="005074AB" w:rsidRDefault="005074AB" w:rsidP="00F11565">
      <w:pPr>
        <w:ind w:left="426"/>
        <w:jc w:val="both"/>
        <w:rPr>
          <w:rFonts w:cstheme="minorHAnsi"/>
        </w:rPr>
      </w:pPr>
      <w:r>
        <w:t>Hoonetel peab olema miinimumtaristu, mis võimaldab elektrisõidukite laadimist.“</w:t>
      </w:r>
    </w:p>
    <w:p w14:paraId="6F674517" w14:textId="77777777" w:rsidR="002A5A94" w:rsidRPr="000E4F56" w:rsidRDefault="002A5A94" w:rsidP="002A5A94">
      <w:pPr>
        <w:pStyle w:val="ListParagraph"/>
        <w:numPr>
          <w:ilvl w:val="0"/>
          <w:numId w:val="9"/>
        </w:numPr>
        <w:ind w:left="142" w:hanging="142"/>
        <w:jc w:val="both"/>
        <w:rPr>
          <w:rFonts w:cstheme="minorHAnsi"/>
        </w:rPr>
      </w:pPr>
      <w:r>
        <w:t>Lisatakse täiendav säte järgmises sõnastuses:</w:t>
      </w:r>
    </w:p>
    <w:p w14:paraId="2417D1DC" w14:textId="3DAEE52F" w:rsidR="002A5A94" w:rsidRPr="0033081E" w:rsidRDefault="002A5A94" w:rsidP="002A5A94">
      <w:pPr>
        <w:ind w:left="426"/>
        <w:jc w:val="both"/>
        <w:rPr>
          <w:rFonts w:cstheme="minorHAnsi"/>
          <w:bCs/>
          <w:i/>
          <w:iCs/>
        </w:rPr>
      </w:pPr>
      <w:r>
        <w:t xml:space="preserve">„Ainus lisasäte. </w:t>
      </w:r>
      <w:r>
        <w:rPr>
          <w:i/>
        </w:rPr>
        <w:t>Elektrisõidukite laadimistaristu miinimumrajatised hoonetes, mis ei ole rohkem kui 20 parkimiskohaga eraelamud.</w:t>
      </w:r>
    </w:p>
    <w:p w14:paraId="71CE31DD" w14:textId="72E1754E" w:rsidR="0067270E" w:rsidRPr="008F4D49" w:rsidRDefault="0067270E" w:rsidP="0067270E">
      <w:pPr>
        <w:ind w:left="426"/>
        <w:jc w:val="both"/>
      </w:pPr>
      <w:r>
        <w:t>Vastavalt 20. mai 2021. aasta seaduse 7/2021 (kliimamuutuste ja energiasüsteemi ümberkujundamise kohta) sätetele peavad enne 1. jaanuari 2023 kõik mujal kui isikliku eluasemena kasutatavad hooned, millel on rohkem kui 20 parkimiskohaga parkimisala, kas sise- või selleks määratud välispinnal olema vähemalt järgmised elektrisõidukite laadimistaristu rajatised:</w:t>
      </w:r>
    </w:p>
    <w:p w14:paraId="2339A7CE" w14:textId="2F683544" w:rsidR="0067270E" w:rsidRPr="00DC3EE9" w:rsidRDefault="0067270E" w:rsidP="00675D0E">
      <w:pPr>
        <w:ind w:left="426"/>
        <w:jc w:val="both"/>
        <w:rPr>
          <w:rFonts w:cstheme="minorHAnsi"/>
        </w:rPr>
      </w:pPr>
      <w:r>
        <w:t>– üldiselt tuleb iga 40 parkimiskoha või samaväärse kuni 1000 koha kohta paigaldada üks laadimisjaam ja üks täiendav laadimisjaam iga täiendava 100 koha või samaväärse ruumi kohta. Teise võimalusena taotletakse munitsipaallitsentsi või luba sellise laadimistaristu teostamiseks vajalike tööde tegemiseks või juhul, kui hoone omaniku suhtes kohaldatakse 8. novembri 2017. aasta seadust 9/2017 avaliku sektori lepingute kohta, millega võetakse Hispaania õigusesse üle Euroopa Parlamendi ja nõukogu 26. veebruari 2014. aasta direktiivid 2014/23/EL ja 2014/24/EL, algatatakse hange või sama kindlaksmääramiseks vajalik projekt või tehniline dokument vastaval hankeplatvormil teate avaldamise teel</w:t>
      </w:r>
      <w:bookmarkStart w:id="0" w:name="_Hlk74840570"/>
      <w:r>
        <w:t xml:space="preserve">. Munitsipaalloa või loa taotlemisega ametlikuks tehtud tööd peavad algama loa kehtivuse maksimaalse tähtaja jooksul vastavalt asjakohastele õigusnormidele, ja kui see ei ole </w:t>
      </w:r>
      <w:r>
        <w:lastRenderedPageBreak/>
        <w:t>võimalik, siis kuue kuu jooksul alates loa andmise kuupäevast. Tööd, mis on ametlikuks tehtud nende pakkumismenetluse või neid määratleva projekti või tehnilise dokumendi pakkumise algatamise tõttu, peavad algama loa, kohaliku omavalitsuse loa või samaväärse kehtivusaja jooksul või selle puudumisel kuue kuu jooksul selle andmise kuupäevast.</w:t>
      </w:r>
    </w:p>
    <w:bookmarkEnd w:id="0"/>
    <w:p w14:paraId="58AB7358" w14:textId="65977551" w:rsidR="00F90C96" w:rsidRPr="008F4D49" w:rsidRDefault="0067270E" w:rsidP="00EA32C0">
      <w:pPr>
        <w:ind w:left="426"/>
        <w:jc w:val="both"/>
        <w:rPr>
          <w:rFonts w:cstheme="minorHAnsi"/>
        </w:rPr>
      </w:pPr>
      <w:r>
        <w:t>– riigi üldadministratsioonile või sellega seotud või talle kuuluvatele avalik-õiguslikele asutustele kuuluvates hoonetes paigaldatakse üks laadimisjaam iga 20 parkimiskoha või kuni 500 samaväärse koha kohta ja üks täiendav laadimisjaam iga täiendava 100 koha või samaväärse koha kohta või teise võimalusena algatatakse ehitustööde või projekti või tehnilise dokumendi pakkumismenetlus, mis on vajalik ehitustööde määratlemiseks, kuulutades välja vastaval hankeplatvormil. Tööd, mis on ametlikuks tehtud nende pakkumismenetluse või neid määratleva projekti või tehnilise dokumendi pakkumise algatamise tõttu, peavad algama loa, kohaliku omavalitsuse loa või samaväärse kehtivusaja jooksul või selle puudumisel kuue kuu jooksul selle andmise kuupäevast.</w:t>
      </w:r>
    </w:p>
    <w:p w14:paraId="354182C6" w14:textId="54A09FDC" w:rsidR="002A5A94" w:rsidRPr="00BA4C0D" w:rsidRDefault="002A5A94" w:rsidP="00210EA2">
      <w:pPr>
        <w:ind w:left="426"/>
        <w:jc w:val="both"/>
      </w:pPr>
      <w:r>
        <w:t>Ametlikult kaitstud ehitised on nende kohustuste kohaldamisalast välja jäetud seetõttu, et need on osa deklareeritud keskkonnast või nende erilisest arhitektuurilisest või ajaloolisest väärtusest, niivõrd kui nõude täitmine võib põhjendamatult muuta nende olemust või välimust, ning muutumatud elemendid määrab kindlaks riiklik kaitseasutus.</w:t>
      </w:r>
    </w:p>
    <w:p w14:paraId="0662362C" w14:textId="0FC45639" w:rsidR="002A5A94" w:rsidRPr="0062182D" w:rsidRDefault="002A5A94" w:rsidP="0062182D">
      <w:pPr>
        <w:pStyle w:val="ListParagraph"/>
        <w:ind w:left="426"/>
        <w:jc w:val="both"/>
        <w:rPr>
          <w:rFonts w:cstheme="minorHAnsi"/>
        </w:rPr>
      </w:pPr>
      <w:r>
        <w:t>Kõnealune elektrisõidukite laadimistaristu vastab 2. augusti kuningliku dekreedi 842/2002 sätetele, millega kiidetakse heaks madalpinge elektrotehnika eeskiri ja selle täiendav tehniline juhend BT 52 „Eriotstarbelised käitised. Elektrisõidukite laadimistaristu“, samuti 4. jaotise sätted. „Nõude põhjendatus“ ja 5. Põhidokumendi DB-HE „Energiasääst“ jaotise HE 6 „Elektrisõidukite minimaalsed laadimistaristu rajatised“ „Ehitamine, hooldus ja korrashoid“.“</w:t>
      </w:r>
    </w:p>
    <w:p w14:paraId="0769E30E" w14:textId="6A51451B" w:rsidR="0033081E" w:rsidRPr="008F4D49" w:rsidRDefault="005074AB" w:rsidP="00D47CC2">
      <w:pPr>
        <w:jc w:val="both"/>
        <w:rPr>
          <w:rFonts w:cstheme="minorHAnsi"/>
        </w:rPr>
      </w:pPr>
      <w:r>
        <w:t xml:space="preserve">Teiseks. Muudetakse tehnilise ehitusseadustiku II osas sisalduvat alusdokumenti DB-HE „Energiasääst“, lisades sellesse osa HE 6 „Elektrisõidukite minimaalsed laadimistaristu rajatised“, mis on esitatud käesoleva kuningliku dekreedi I lisas. </w:t>
      </w:r>
    </w:p>
    <w:p w14:paraId="5DC46FAC" w14:textId="4A465EFF" w:rsidR="005074AB" w:rsidRPr="008F4D49" w:rsidRDefault="005074AB" w:rsidP="005074AB">
      <w:pPr>
        <w:spacing w:after="162"/>
        <w:ind w:left="13"/>
        <w:jc w:val="both"/>
        <w:rPr>
          <w:rFonts w:cstheme="minorHAnsi"/>
        </w:rPr>
      </w:pPr>
      <w:r>
        <w:t>Alusdokumenti DB-HE tehakse ka järgmised muudatused:</w:t>
      </w:r>
    </w:p>
    <w:p w14:paraId="53FD09BA" w14:textId="1FBEE4B0" w:rsidR="005074AB" w:rsidRPr="009064BC" w:rsidRDefault="005074AB" w:rsidP="006424FF">
      <w:pPr>
        <w:numPr>
          <w:ilvl w:val="0"/>
          <w:numId w:val="13"/>
        </w:numPr>
        <w:spacing w:after="162"/>
        <w:ind w:left="720" w:hanging="295"/>
        <w:jc w:val="both"/>
        <w:rPr>
          <w:rFonts w:cstheme="minorHAnsi"/>
        </w:rPr>
      </w:pPr>
      <w:r>
        <w:t>„Sissejuhatuse“ jaotise „I teema“ esimeses lõigus lauses „Käesoleva DB jaotised vastavad põhinõuetele HE 0 a kuni HE 5“ peaks „HE 5“ asemel olema „HE 6“.</w:t>
      </w:r>
    </w:p>
    <w:p w14:paraId="7957EC48" w14:textId="441BEE49" w:rsidR="006F5E38" w:rsidRPr="009064BC" w:rsidRDefault="006F5E38" w:rsidP="006424FF">
      <w:pPr>
        <w:numPr>
          <w:ilvl w:val="0"/>
          <w:numId w:val="13"/>
        </w:numPr>
        <w:spacing w:after="162"/>
        <w:ind w:left="720" w:hanging="295"/>
        <w:jc w:val="both"/>
        <w:rPr>
          <w:rFonts w:cstheme="minorHAnsi"/>
        </w:rPr>
      </w:pPr>
      <w:r>
        <w:t>Sissejuhatuse I jaotises „Teema” muudetakse viidet ehitusseadustiku I osa artiklile 15.6 järgmiselt:</w:t>
      </w:r>
    </w:p>
    <w:p w14:paraId="5F1636DD" w14:textId="77777777" w:rsidR="006F5E38" w:rsidRPr="009064BC" w:rsidRDefault="006F5E38" w:rsidP="009064BC">
      <w:pPr>
        <w:pStyle w:val="ListParagraph"/>
        <w:ind w:left="709"/>
        <w:contextualSpacing w:val="0"/>
        <w:jc w:val="both"/>
        <w:rPr>
          <w:rFonts w:cstheme="minorHAnsi"/>
        </w:rPr>
      </w:pPr>
      <w:r>
        <w:t>„15.6 Põhinõue HE 5: Taastuvatest energiaallikatest elektri minimaalne tootmine.</w:t>
      </w:r>
    </w:p>
    <w:p w14:paraId="6BB983CA" w14:textId="72439AD8" w:rsidR="006F5E38" w:rsidRPr="009064BC" w:rsidRDefault="006F5E38" w:rsidP="009064BC">
      <w:pPr>
        <w:pStyle w:val="ListParagraph"/>
        <w:spacing w:after="162"/>
        <w:ind w:left="709"/>
        <w:contextualSpacing w:val="0"/>
        <w:jc w:val="both"/>
        <w:rPr>
          <w:rFonts w:cstheme="minorHAnsi"/>
        </w:rPr>
      </w:pPr>
      <w:r>
        <w:t>Hoonetes peavad olema taastuvatest energiaallikatest elektritootmissüsteemid oma tarbeks või võrguga varustamiseks.“</w:t>
      </w:r>
    </w:p>
    <w:p w14:paraId="2D6B0228" w14:textId="7AFD12CA" w:rsidR="005074AB" w:rsidRPr="009064BC" w:rsidRDefault="005074AB" w:rsidP="006424FF">
      <w:pPr>
        <w:numPr>
          <w:ilvl w:val="0"/>
          <w:numId w:val="13"/>
        </w:numPr>
        <w:spacing w:after="162"/>
        <w:ind w:left="720" w:hanging="295"/>
        <w:jc w:val="both"/>
        <w:rPr>
          <w:rFonts w:cstheme="minorHAnsi"/>
        </w:rPr>
      </w:pPr>
      <w:r>
        <w:t>Sissejuhatuse I jaotisesse „Teema” lisatakse ehitusseadustiku lõppu viitele ehitusseadustiku I osa artiklile 15 järgmine punkt järgmise tekstiga:</w:t>
      </w:r>
    </w:p>
    <w:p w14:paraId="7D3E8D59" w14:textId="77777777" w:rsidR="005074AB" w:rsidRPr="009064BC" w:rsidRDefault="005074AB" w:rsidP="006424FF">
      <w:pPr>
        <w:ind w:left="709"/>
        <w:jc w:val="both"/>
        <w:rPr>
          <w:rFonts w:cstheme="minorHAnsi"/>
        </w:rPr>
      </w:pPr>
      <w:r>
        <w:t>„15.7. Põhinõue HE 6: Elektrisõidukite laadimistaristu miinimumseadmed.</w:t>
      </w:r>
    </w:p>
    <w:p w14:paraId="63C180D9" w14:textId="77777777" w:rsidR="005074AB" w:rsidRPr="009064BC" w:rsidRDefault="005074AB" w:rsidP="006424FF">
      <w:pPr>
        <w:ind w:left="709"/>
        <w:jc w:val="both"/>
        <w:rPr>
          <w:rFonts w:cstheme="minorHAnsi"/>
        </w:rPr>
      </w:pPr>
      <w:r>
        <w:t>Hoonetel peab olema miinimumtaristu, mis võimaldab elektrisõidukite laadimist.“</w:t>
      </w:r>
    </w:p>
    <w:p w14:paraId="2CCB9F35" w14:textId="1C8D3E4F" w:rsidR="001B0467" w:rsidRPr="009064BC" w:rsidRDefault="001B0467" w:rsidP="006424FF">
      <w:pPr>
        <w:numPr>
          <w:ilvl w:val="0"/>
          <w:numId w:val="13"/>
        </w:numPr>
        <w:ind w:left="720" w:hanging="294"/>
        <w:jc w:val="both"/>
        <w:rPr>
          <w:rFonts w:cstheme="minorHAnsi"/>
        </w:rPr>
      </w:pPr>
      <w:r>
        <w:t>Sisukorras muudetakse jaotise HE 5 pealkirja järgmiselt:</w:t>
      </w:r>
    </w:p>
    <w:p w14:paraId="7DC0F11B" w14:textId="4E9858DC" w:rsidR="001B0467" w:rsidRPr="009064BC" w:rsidRDefault="001B0467" w:rsidP="001B0467">
      <w:pPr>
        <w:pStyle w:val="ListParagraph"/>
        <w:ind w:left="709"/>
        <w:jc w:val="both"/>
        <w:rPr>
          <w:rFonts w:cstheme="minorHAnsi"/>
        </w:rPr>
      </w:pPr>
      <w:r>
        <w:lastRenderedPageBreak/>
        <w:t>„Jaotis HE 5 Minimaalne elektrienergia tootmine taastuvatest energiaallikatest.“</w:t>
      </w:r>
    </w:p>
    <w:p w14:paraId="1178E5DE" w14:textId="4953BECD" w:rsidR="005074AB" w:rsidRPr="009064BC" w:rsidRDefault="005074AB" w:rsidP="006424FF">
      <w:pPr>
        <w:numPr>
          <w:ilvl w:val="0"/>
          <w:numId w:val="13"/>
        </w:numPr>
        <w:ind w:left="720" w:hanging="294"/>
        <w:jc w:val="both"/>
        <w:rPr>
          <w:rFonts w:cstheme="minorHAnsi"/>
        </w:rPr>
      </w:pPr>
      <w:r>
        <w:t>Artikli 15 viitesse lisatakse järgmine punkt:</w:t>
      </w:r>
    </w:p>
    <w:p w14:paraId="661731BD" w14:textId="50DD66A3" w:rsidR="005074AB" w:rsidRPr="009064BC" w:rsidRDefault="00982E58" w:rsidP="00982E58">
      <w:pPr>
        <w:tabs>
          <w:tab w:val="left" w:pos="7938"/>
        </w:tabs>
        <w:ind w:left="1134" w:hanging="425"/>
        <w:contextualSpacing/>
        <w:jc w:val="both"/>
        <w:rPr>
          <w:rFonts w:cstheme="minorHAnsi"/>
        </w:rPr>
      </w:pPr>
      <w:r>
        <w:t>„Jaotis HE 6 Elektrisõidukite laadimistaristu miinimumnõuded……………………………………………………………………………………..……………..</w:t>
      </w:r>
      <w:r>
        <w:tab/>
        <w:t>33</w:t>
      </w:r>
    </w:p>
    <w:p w14:paraId="22DC136D" w14:textId="3F812976" w:rsidR="005074AB" w:rsidRPr="009064BC" w:rsidRDefault="005074AB" w:rsidP="00982E58">
      <w:pPr>
        <w:numPr>
          <w:ilvl w:val="0"/>
          <w:numId w:val="10"/>
        </w:numPr>
        <w:tabs>
          <w:tab w:val="left" w:pos="7938"/>
        </w:tabs>
        <w:ind w:left="1134" w:hanging="425"/>
        <w:contextualSpacing/>
        <w:jc w:val="both"/>
        <w:rPr>
          <w:rFonts w:cstheme="minorHAnsi"/>
        </w:rPr>
      </w:pPr>
      <w:r>
        <w:t>Reguleerimisala.......................................................................................</w:t>
      </w:r>
      <w:r>
        <w:tab/>
        <w:t>33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t>Nõude kirjeldus……………………………………………………………………</w:t>
      </w:r>
      <w:r>
        <w:tab/>
        <w:t>34</w:t>
      </w:r>
    </w:p>
    <w:p w14:paraId="4D6A108B" w14:textId="59207892" w:rsidR="005074AB" w:rsidRPr="009064BC" w:rsidRDefault="005074AB" w:rsidP="00982E58">
      <w:pPr>
        <w:numPr>
          <w:ilvl w:val="0"/>
          <w:numId w:val="10"/>
        </w:numPr>
        <w:tabs>
          <w:tab w:val="left" w:pos="7938"/>
        </w:tabs>
        <w:ind w:left="1134" w:hanging="425"/>
        <w:contextualSpacing/>
        <w:jc w:val="both"/>
        <w:rPr>
          <w:rFonts w:cstheme="minorHAnsi"/>
        </w:rPr>
      </w:pPr>
      <w:r>
        <w:t>Nõude kvantifitseerimine………………………………………………………………..</w:t>
      </w:r>
      <w:r>
        <w:tab/>
        <w:t>34</w:t>
      </w:r>
    </w:p>
    <w:p w14:paraId="79098154" w14:textId="4DBE57AC" w:rsidR="005074AB" w:rsidRPr="009064BC" w:rsidRDefault="005074AB" w:rsidP="00982E58">
      <w:pPr>
        <w:numPr>
          <w:ilvl w:val="0"/>
          <w:numId w:val="10"/>
        </w:numPr>
        <w:tabs>
          <w:tab w:val="left" w:pos="7938"/>
        </w:tabs>
        <w:ind w:left="1134" w:hanging="425"/>
        <w:contextualSpacing/>
        <w:jc w:val="both"/>
        <w:rPr>
          <w:rFonts w:cstheme="minorHAnsi"/>
        </w:rPr>
      </w:pPr>
      <w:r>
        <w:t>Nõude põhjendus……………………………………………………………………</w:t>
      </w:r>
      <w:r>
        <w:tab/>
        <w:t>34</w:t>
      </w:r>
    </w:p>
    <w:p w14:paraId="7CB375BD" w14:textId="716B29D4" w:rsidR="005074AB" w:rsidRPr="009064BC" w:rsidRDefault="005074AB" w:rsidP="00982E58">
      <w:pPr>
        <w:numPr>
          <w:ilvl w:val="0"/>
          <w:numId w:val="10"/>
        </w:numPr>
        <w:tabs>
          <w:tab w:val="left" w:pos="7938"/>
        </w:tabs>
        <w:ind w:left="1134" w:hanging="425"/>
        <w:contextualSpacing/>
        <w:jc w:val="both"/>
        <w:rPr>
          <w:rFonts w:cstheme="minorHAnsi"/>
        </w:rPr>
      </w:pPr>
      <w:r>
        <w:t>Ehitus, hooldus ja korrashoid…………………………………………………</w:t>
      </w:r>
      <w:r w:rsidR="00F41681">
        <w:tab/>
      </w:r>
      <w:r>
        <w:t>35</w:t>
      </w:r>
    </w:p>
    <w:p w14:paraId="0BB8C82D" w14:textId="09943AE3" w:rsidR="005074AB" w:rsidRPr="009064BC" w:rsidRDefault="006424FF" w:rsidP="00982E58">
      <w:pPr>
        <w:tabs>
          <w:tab w:val="left" w:pos="7938"/>
        </w:tabs>
        <w:ind w:left="1843" w:hanging="425"/>
        <w:contextualSpacing/>
        <w:jc w:val="both"/>
        <w:rPr>
          <w:rFonts w:cstheme="minorHAnsi"/>
        </w:rPr>
      </w:pPr>
      <w:r>
        <w:t>5.1</w:t>
      </w:r>
      <w:r>
        <w:tab/>
        <w:t>Täitmine……………………………………………………………………………………….</w:t>
      </w:r>
      <w:r>
        <w:tab/>
        <w:t>35</w:t>
      </w:r>
    </w:p>
    <w:p w14:paraId="4AE42B35" w14:textId="3730ABF1" w:rsidR="005074AB" w:rsidRPr="009064BC" w:rsidRDefault="005074AB" w:rsidP="00982E58">
      <w:pPr>
        <w:tabs>
          <w:tab w:val="left" w:pos="7938"/>
        </w:tabs>
        <w:ind w:left="1843" w:hanging="425"/>
        <w:contextualSpacing/>
        <w:jc w:val="both"/>
        <w:rPr>
          <w:rFonts w:cstheme="minorHAnsi"/>
        </w:rPr>
      </w:pPr>
      <w:r>
        <w:t>5.2</w:t>
      </w:r>
      <w:r>
        <w:tab/>
        <w:t>Tööde teostamise järelevalve......................................................</w:t>
      </w:r>
      <w:r w:rsidR="00F41681">
        <w:tab/>
      </w:r>
      <w:r>
        <w:t>35</w:t>
      </w:r>
    </w:p>
    <w:p w14:paraId="2E5A6752" w14:textId="5AE20D60" w:rsidR="005074AB" w:rsidRPr="009064BC" w:rsidRDefault="005074AB" w:rsidP="00982E58">
      <w:pPr>
        <w:tabs>
          <w:tab w:val="left" w:pos="7938"/>
        </w:tabs>
        <w:ind w:left="1843" w:hanging="436"/>
        <w:contextualSpacing/>
        <w:jc w:val="both"/>
        <w:rPr>
          <w:rFonts w:cstheme="minorHAnsi"/>
        </w:rPr>
      </w:pPr>
      <w:r>
        <w:t>5.3</w:t>
      </w:r>
      <w:r>
        <w:tab/>
        <w:t>Lõpetatud töö kontrollimine………………………………………………………….</w:t>
      </w:r>
      <w:r>
        <w:tab/>
        <w:t>35</w:t>
      </w:r>
    </w:p>
    <w:p w14:paraId="5D3A912D" w14:textId="794493B7" w:rsidR="005074AB" w:rsidRPr="009064BC" w:rsidRDefault="005074AB" w:rsidP="00982E58">
      <w:pPr>
        <w:tabs>
          <w:tab w:val="left" w:pos="7938"/>
        </w:tabs>
        <w:ind w:left="1843" w:hanging="425"/>
        <w:contextualSpacing/>
        <w:jc w:val="both"/>
        <w:rPr>
          <w:rFonts w:cstheme="minorHAnsi"/>
        </w:rPr>
      </w:pPr>
      <w:r>
        <w:t>5.4</w:t>
      </w:r>
      <w:r>
        <w:tab/>
        <w:t>Hoone hooldus ja hooldus.......................................................</w:t>
      </w:r>
      <w:r>
        <w:tab/>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Jaotises HE 0 „Energiatarbimise piirmäärad“ punktis 4.1 „Arvutamise kord“ asendatakse punktis 9 sõnad „Tunnustatud dokument“ sõnadega „Hoonete tunnustatud energiamärgistusdokument“.</w:t>
      </w:r>
    </w:p>
    <w:p w14:paraId="3222E360" w14:textId="2F90CB7E" w:rsidR="0067340E" w:rsidRPr="0067340E" w:rsidRDefault="006C16B4" w:rsidP="0026457E">
      <w:pPr>
        <w:numPr>
          <w:ilvl w:val="0"/>
          <w:numId w:val="13"/>
        </w:numPr>
        <w:ind w:left="720" w:hanging="295"/>
        <w:jc w:val="both"/>
        <w:rPr>
          <w:rFonts w:cstheme="minorHAnsi"/>
        </w:rPr>
      </w:pPr>
      <w:r>
        <w:t>Jaotise HE 0 „Energiatarbimise piirmäärad“ punkti 4.1 „Arvutamismenetlus“ lõige 9 muudetakse punktiks 11 ja lisatakse järgmised lõigud:</w:t>
      </w:r>
    </w:p>
    <w:p w14:paraId="3392DEB4" w14:textId="73112890" w:rsidR="0067340E" w:rsidRDefault="0067340E" w:rsidP="0067340E">
      <w:pPr>
        <w:ind w:left="1134" w:hanging="425"/>
        <w:contextualSpacing/>
        <w:jc w:val="both"/>
        <w:rPr>
          <w:rFonts w:cstheme="minorHAnsi"/>
        </w:rPr>
      </w:pPr>
      <w:r>
        <w:t>„9</w:t>
      </w:r>
      <w:r>
        <w:tab/>
        <w:t>Käesoleva ehitusdirektiivi nõuete kontrollimiseks vajalik energiabilanss arvutatakse kooskõlas standardiga UNE-EN ISO 52000-1:2019: hoonete energiatõhususe üldhinnang. 1. osa: üldine raamistik ja menetlused, kasutades eksporditegurit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Erinevate teenuste jaotamisel arvutatakse kohapeal toodetud elektrienergia jaotus iga ajavahemiku kohta proportsionaalselt asjaomase tarbimise elektritarbimisega (küte, jahutus, ventilatsioon, õhuvahetussüsteem ja kolmanda taseme kasutamine lisaks valgustusele).“</w:t>
      </w:r>
    </w:p>
    <w:p w14:paraId="78947690" w14:textId="66930B3C" w:rsidR="005074AB" w:rsidRPr="009064BC" w:rsidRDefault="005074AB" w:rsidP="0026457E">
      <w:pPr>
        <w:numPr>
          <w:ilvl w:val="0"/>
          <w:numId w:val="13"/>
        </w:numPr>
        <w:ind w:left="720" w:hanging="294"/>
        <w:jc w:val="both"/>
        <w:rPr>
          <w:rFonts w:cstheme="minorHAnsi"/>
        </w:rPr>
      </w:pPr>
      <w:r>
        <w:t>Jaotise HE 1 „Energianõudluse kontrollimise tingimused“ punkti 3.1.1 „Soojusümbrise läbitavus“ lisatakse järgmine lõik:</w:t>
      </w:r>
    </w:p>
    <w:p w14:paraId="729573A3" w14:textId="05413AE2" w:rsidR="005074AB" w:rsidRPr="009064BC" w:rsidRDefault="005074AB" w:rsidP="006424FF">
      <w:pPr>
        <w:ind w:left="1134" w:hanging="425"/>
        <w:jc w:val="both"/>
        <w:rPr>
          <w:rFonts w:cstheme="minorHAnsi"/>
        </w:rPr>
      </w:pPr>
      <w:r>
        <w:t>„6</w:t>
      </w:r>
      <w:r>
        <w:tab/>
        <w:t xml:space="preserve">Alternatiivina võib </w:t>
      </w:r>
      <w:r>
        <w:rPr>
          <w:i/>
        </w:rPr>
        <w:t>soojusümbrise kaudu toimuva soojusülekande üldise koefitsiendi (K)</w:t>
      </w:r>
      <w:r>
        <w:t xml:space="preserve"> järgimisest välja jätta hooned või juhul, kui tegemist on osalise sekkumisega olemasolevates hoonetes, hoone osad, mille kütte- ja jahutusvajadus on mõlemal juhul väiksem kui 15 kWh/m</w:t>
      </w:r>
      <w:r>
        <w:rPr>
          <w:vertAlign w:val="superscript"/>
        </w:rPr>
        <w:t>2</w:t>
      </w:r>
      <w:r>
        <w:t>.“</w:t>
      </w:r>
    </w:p>
    <w:p w14:paraId="49941342" w14:textId="77777777" w:rsidR="00802B87" w:rsidRDefault="005074AB" w:rsidP="00802B87">
      <w:pPr>
        <w:numPr>
          <w:ilvl w:val="0"/>
          <w:numId w:val="13"/>
        </w:numPr>
        <w:ind w:left="709" w:hanging="283"/>
        <w:contextualSpacing/>
        <w:jc w:val="both"/>
        <w:rPr>
          <w:rFonts w:cstheme="minorHAnsi"/>
        </w:rPr>
      </w:pPr>
      <w:r>
        <w:t>Jaotisele HE 1 „Energianõudluse kontrollimise tingimused“ lisatakse punktis 3.1.3 „Õhu läbilaskvus soojuskandjal“ uus lõige 3:</w:t>
      </w:r>
    </w:p>
    <w:p w14:paraId="1D58DEB1" w14:textId="0D8F3294" w:rsidR="005074AB" w:rsidRPr="00802B87" w:rsidRDefault="005074AB" w:rsidP="00802B87">
      <w:pPr>
        <w:ind w:left="709"/>
        <w:contextualSpacing/>
        <w:jc w:val="both"/>
        <w:rPr>
          <w:rFonts w:cstheme="minorHAnsi"/>
        </w:rPr>
      </w:pPr>
      <w:r>
        <w:t xml:space="preserve">„Muudatuste korral kohaldatakse tabelit 3.1.3.a-HE1 ainult </w:t>
      </w:r>
      <w:r>
        <w:rPr>
          <w:i/>
        </w:rPr>
        <w:t>soojusümbrise</w:t>
      </w:r>
      <w:r>
        <w:t xml:space="preserve"> nende osade suhtes, mis asendatakse, inkorporeeritakse või mida oluliselt muudetakse;“</w:t>
      </w:r>
    </w:p>
    <w:p w14:paraId="7563FEDE" w14:textId="74826D79" w:rsidR="005074AB" w:rsidRDefault="005074AB" w:rsidP="00836E07">
      <w:pPr>
        <w:ind w:left="709"/>
        <w:jc w:val="both"/>
        <w:rPr>
          <w:rFonts w:cstheme="minorHAnsi"/>
        </w:rPr>
      </w:pPr>
      <w:r>
        <w:t>Punkti 3.1.3 „Soojusümbrise läbilaskvus“ kehtivate punktide 3 ja 4 numeratsioon asendatakse vastavalt punktidega 4 ja 5.</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lastRenderedPageBreak/>
        <w:t>Jaotise HE 3 „Valgustusseadmete tingimused“ tabelis 3.1-HE 3 „Paigaldustõhususe piirväärtus (VEEI</w:t>
      </w:r>
      <w:r>
        <w:rPr>
          <w:vertAlign w:val="subscript"/>
        </w:rPr>
        <w:t>lim</w:t>
      </w:r>
      <w:r>
        <w:t xml:space="preserve">)“ asendatakse sõnad „Ettevõtted ja väikesed kauplused“ sõnadega „Ettevõtted ja väikesed kauplused </w:t>
      </w:r>
      <w:r>
        <w:rPr>
          <w:rFonts w:ascii="Calibri" w:hAnsi="Calibri"/>
          <w:vertAlign w:val="subscript"/>
        </w:rPr>
        <w:t>(10)</w:t>
      </w:r>
      <w:r>
        <w:t>“ ning lisatakse järgmine joonealune märkus:</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Mõiste „kauplus“ viitab nii väikestele sõltumatutele kauplustele kui ka kaubanduslikuks kasutamiseks mõeldud osale, mida kaubanduskeskustes tavaliselt ei kasutata.“</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Jaotise HE 4 „Taastuvenergia minimaalne panus tarbevee soojendamise nõudluse rahuldamisse“ punkti 2 „Nõude kirjeldus“ artikkel 1 sõnastatakse järgmiselt:</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Hooned peavad rahuldama vajaduse automaatse reguleerimise ja vee soojendamise järele siseruumides köetavate basseinide puhul, milles kasutatakse suurel määral koostootmisprotsesse või taastuvaid koostootmisprotsesse; kas hoones endas või kaugküttesüsteemiga ühendamisel.“</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Jaotises HE 5 „Miinimumelektrienergia tootmine“ asendatakse pealkiri järgmisega:</w:t>
      </w:r>
    </w:p>
    <w:p w14:paraId="1835914C" w14:textId="7892C477" w:rsidR="005074AB" w:rsidRPr="009064BC" w:rsidRDefault="00836E07" w:rsidP="006F5E38">
      <w:pPr>
        <w:pStyle w:val="ListParagraph"/>
        <w:ind w:left="709"/>
        <w:contextualSpacing w:val="0"/>
        <w:jc w:val="both"/>
        <w:rPr>
          <w:rFonts w:cstheme="minorHAnsi"/>
        </w:rPr>
      </w:pPr>
      <w:r>
        <w:t>„Jaotis HE 5 Minimaalne elektritootmine taastuvatest energiaallikatest.“</w:t>
      </w:r>
    </w:p>
    <w:p w14:paraId="5A13D3D2" w14:textId="6E7AA8ED" w:rsidR="005074AB" w:rsidRPr="009064BC" w:rsidRDefault="005074AB" w:rsidP="00CC005A">
      <w:pPr>
        <w:numPr>
          <w:ilvl w:val="0"/>
          <w:numId w:val="13"/>
        </w:numPr>
        <w:ind w:left="720" w:hanging="294"/>
        <w:jc w:val="both"/>
        <w:rPr>
          <w:rFonts w:cstheme="minorHAnsi"/>
        </w:rPr>
      </w:pPr>
      <w:r>
        <w:t xml:space="preserve">Jaotises HE 5 „Minimaalne elektritootmine“ on punkt 1 „Reguleerimisala“ sõnastatud järgmiselt: </w:t>
      </w:r>
    </w:p>
    <w:p w14:paraId="45B1F681" w14:textId="77777777" w:rsidR="005074AB" w:rsidRPr="009064BC" w:rsidRDefault="005074AB" w:rsidP="00CC005A">
      <w:pPr>
        <w:ind w:left="1134" w:hanging="425"/>
        <w:jc w:val="both"/>
        <w:rPr>
          <w:rFonts w:cstheme="minorHAnsi"/>
        </w:rPr>
      </w:pPr>
      <w:r>
        <w:t>„1</w:t>
      </w:r>
      <w:r>
        <w:tab/>
        <w:t xml:space="preserve">Käesolevat jaotist kohaldatakse järgmistel juhtudel: </w:t>
      </w:r>
    </w:p>
    <w:p w14:paraId="10C39280" w14:textId="4335D1B7" w:rsidR="002F2BD0" w:rsidRPr="003934E5" w:rsidRDefault="005074AB" w:rsidP="002F2BD0">
      <w:pPr>
        <w:numPr>
          <w:ilvl w:val="0"/>
          <w:numId w:val="8"/>
        </w:numPr>
        <w:ind w:left="1418" w:hanging="284"/>
        <w:contextualSpacing/>
        <w:jc w:val="both"/>
        <w:rPr>
          <w:rFonts w:cstheme="minorHAnsi"/>
        </w:rPr>
      </w:pPr>
      <w:r>
        <w:t>uued hooned, kui nende ehitatud pindala ületab1 000 m</w:t>
      </w:r>
      <w:r>
        <w:rPr>
          <w:vertAlign w:val="superscript"/>
        </w:rPr>
        <w:t>2</w:t>
      </w:r>
      <w:r>
        <w:t>;</w:t>
      </w:r>
    </w:p>
    <w:p w14:paraId="288E1AFC" w14:textId="6CE90E6C" w:rsidR="002F2BD0" w:rsidRPr="003934E5" w:rsidRDefault="002F2BD0" w:rsidP="002F2BD0">
      <w:pPr>
        <w:numPr>
          <w:ilvl w:val="0"/>
          <w:numId w:val="8"/>
        </w:numPr>
        <w:ind w:left="1418" w:hanging="284"/>
        <w:contextualSpacing/>
        <w:jc w:val="both"/>
        <w:rPr>
          <w:rFonts w:cstheme="minorHAnsi"/>
        </w:rPr>
      </w:pPr>
      <w:r>
        <w:t>olemasolevate hoonete laiendused, kui hooneala suurendatakse rohkem kui 1 000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olemasolevad hooned, mis on täielikult renoveeritud või mille kasutusotstarve on muutunud, kui need ületavad 1 000 m</w:t>
      </w:r>
      <w:r>
        <w:rPr>
          <w:vertAlign w:val="superscript"/>
        </w:rPr>
        <w:t>2</w:t>
      </w:r>
      <w:r>
        <w:t xml:space="preserve"> ehituspinnast.</w:t>
      </w:r>
    </w:p>
    <w:p w14:paraId="2BDE8293" w14:textId="74B0ACD8" w:rsidR="001B0467" w:rsidRPr="003934E5" w:rsidRDefault="00D76296" w:rsidP="001B0467">
      <w:pPr>
        <w:ind w:left="1134"/>
        <w:jc w:val="both"/>
        <w:rPr>
          <w:rFonts w:cstheme="minorHAnsi"/>
        </w:rPr>
      </w:pPr>
      <w:r>
        <w:t xml:space="preserve">Hoonestatud ala hõlmab hoone sees olevate parkimisalade pindala ja ei hõlma ühiseid vabaõhualasid.“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Jaotise HE 5 „Minimaalne elektritootmine“ punkti 2 „Nõude iseloomustus“ esimene lõik on sõnastatud järgmiselt:</w:t>
      </w:r>
    </w:p>
    <w:p w14:paraId="477CF5F6" w14:textId="719B0DCE" w:rsidR="001B0467" w:rsidRPr="003934E5" w:rsidRDefault="003934E5" w:rsidP="003934E5">
      <w:pPr>
        <w:pStyle w:val="ListParagraph"/>
        <w:ind w:left="1134" w:hanging="425"/>
        <w:contextualSpacing w:val="0"/>
        <w:jc w:val="both"/>
        <w:rPr>
          <w:rFonts w:cstheme="minorHAnsi"/>
        </w:rPr>
      </w:pPr>
      <w:r>
        <w:t>„1</w:t>
      </w:r>
      <w:r>
        <w:tab/>
        <w:t>Hoonetes peavad olema taastuvatest energiaallikatest elektritootmissüsteemid oma tarbeks või võrguga varustamiseks.“</w:t>
      </w:r>
    </w:p>
    <w:p w14:paraId="6586AED4" w14:textId="66518836" w:rsidR="005074AB" w:rsidRPr="003934E5" w:rsidRDefault="005074AB" w:rsidP="00262992">
      <w:pPr>
        <w:pStyle w:val="ListParagraph"/>
        <w:numPr>
          <w:ilvl w:val="0"/>
          <w:numId w:val="13"/>
        </w:numPr>
        <w:ind w:left="709" w:hanging="283"/>
        <w:jc w:val="both"/>
        <w:rPr>
          <w:rFonts w:cstheme="minorHAnsi"/>
        </w:rPr>
      </w:pPr>
      <w:r>
        <w:t>Jaotise HE 5 „Miinimumelektrienergia tootmine“ punkt 3 „Nõude suurus“ on sõnastatud järgmiselt:</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Minimaalne </w:t>
      </w:r>
      <w:r>
        <w:rPr>
          <w:i/>
        </w:rPr>
        <w:t>paigaldamise võimsus</w:t>
      </w:r>
      <w:r>
        <w:t xml:space="preserve"> P</w:t>
      </w:r>
      <w:r>
        <w:rPr>
          <w:vertAlign w:val="subscript"/>
        </w:rPr>
        <w:t>min</w:t>
      </w:r>
      <w:r>
        <w:t xml:space="preserve"> peab olema järgmise kahe võrrandi väikseim tulemus: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xml:space="preserve"> ·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(0,5·  S</w:t>
      </w:r>
      <w:r>
        <w:rPr>
          <w:vertAlign w:val="subscript"/>
        </w:rPr>
        <w:t>c</w:t>
      </w:r>
      <w:r>
        <w:t xml:space="preserve"> – S</w:t>
      </w:r>
      <w:r>
        <w:rPr>
          <w:vertAlign w:val="subscript"/>
        </w:rPr>
        <w:t>oc</w:t>
      </w:r>
      <w:r>
        <w:t xml:space="preserve"> ),</w:t>
      </w:r>
    </w:p>
    <w:p w14:paraId="33F1DF55" w14:textId="77777777" w:rsidR="005074AB" w:rsidRPr="00C249FB" w:rsidRDefault="005074AB" w:rsidP="005074AB">
      <w:pPr>
        <w:spacing w:before="60"/>
        <w:ind w:left="1134"/>
        <w:jc w:val="both"/>
        <w:rPr>
          <w:rFonts w:eastAsia="Arial" w:cstheme="minorHAnsi"/>
          <w:kern w:val="2"/>
          <w:szCs w:val="24"/>
        </w:rPr>
      </w:pPr>
      <w:r>
        <w:t>kus:</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tab/>
      </w:r>
      <w:r>
        <w:rPr>
          <w:i/>
        </w:rPr>
        <w:t xml:space="preserve">paigaldamise võimsus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lastRenderedPageBreak/>
        <w:t>F</w:t>
      </w:r>
      <w:r>
        <w:rPr>
          <w:vertAlign w:val="subscript"/>
        </w:rPr>
        <w:t>pr;el</w:t>
      </w:r>
      <w:r>
        <w:t xml:space="preserve"> energiatootmistegur, mille väärtus on 0,005 isikliku eluasemena kasutuseks ja 0,010 muuks kasutuseks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w:t>
      </w:r>
      <w:r>
        <w:tab/>
        <w:t>hoone hoonepindala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ab/>
        <w:t>mitteliikluskatuse või ainult korrashoiuks juurdepääsetava katuse pindala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ab/>
        <w:t>mitteliikluskatuse või hooldustöödeks kasutatava katuse pindala, mida kasutavad ainult päikese soojusenergia kollektorid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Hoonetes, kus linna- või arhitektuurilistel põhjustel või seetõttu, et need on ametlikult kaitstud ehitised, kus muutumatud elemendid määrab ametliku kaitse, ei ole võimalik saavutada minimaalset </w:t>
      </w:r>
      <w:r>
        <w:rPr>
          <w:i/>
        </w:rPr>
        <w:t>paigaldamise võimsust</w:t>
      </w:r>
      <w:r>
        <w:t>, tuleb seda võimatust põhjendada, analüüsides erinevaid alternatiive, ning võetakse vastu lahendus, mis saavutab maksimaalse paigaldatud võimsuse.“</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Jaotise HE 5 „Miinimumelektrienergia tootmine“ lisatakse punkti 4 „Nõude põhjendatus“ lisatakse järgmine tekst:</w:t>
      </w:r>
    </w:p>
    <w:p w14:paraId="1F522FCD" w14:textId="0464CEFA" w:rsidR="005074AB" w:rsidRPr="003934E5" w:rsidRDefault="00CC005A" w:rsidP="00982E58">
      <w:pPr>
        <w:ind w:left="1134" w:hanging="425"/>
        <w:jc w:val="both"/>
        <w:rPr>
          <w:rFonts w:cstheme="minorHAnsi"/>
        </w:rPr>
      </w:pPr>
      <w:r>
        <w:t>c)</w:t>
      </w:r>
      <w:r>
        <w:tab/>
        <w:t xml:space="preserve">vajaduse korral põhjused, mis takistavad minimaalse vajaliku </w:t>
      </w:r>
      <w:r>
        <w:rPr>
          <w:i/>
        </w:rPr>
        <w:t>paigaldamise võimsuse</w:t>
      </w:r>
      <w:r>
        <w:t xml:space="preserve"> saavutamist, alternatiivide analüüs ja lahendus, mida kasutatakse maksimaalse võimaliku paigaldatud võimsuse saavutamiseks.“</w:t>
      </w:r>
    </w:p>
    <w:p w14:paraId="2F009607" w14:textId="478B8572" w:rsidR="005074AB" w:rsidRPr="003934E5" w:rsidRDefault="005074AB" w:rsidP="009064BC">
      <w:pPr>
        <w:pStyle w:val="ListParagraph"/>
        <w:numPr>
          <w:ilvl w:val="0"/>
          <w:numId w:val="13"/>
        </w:numPr>
        <w:ind w:left="709" w:hanging="283"/>
        <w:jc w:val="both"/>
        <w:rPr>
          <w:rFonts w:cstheme="minorHAnsi"/>
        </w:rPr>
      </w:pPr>
      <w:r>
        <w:t>A lisas „Terminoloogia“ tehakse järgmised muudatused:</w:t>
      </w:r>
    </w:p>
    <w:p w14:paraId="44885A1E" w14:textId="0F9B0783" w:rsidR="005074AB" w:rsidRPr="009064BC" w:rsidRDefault="005074AB" w:rsidP="005074AB">
      <w:pPr>
        <w:ind w:left="709" w:hanging="142"/>
        <w:jc w:val="both"/>
        <w:rPr>
          <w:rFonts w:cstheme="minorHAnsi"/>
        </w:rPr>
      </w:pPr>
      <w:r>
        <w:t>– Mõiste „Päikesevalguse reguleerimine (q</w:t>
      </w:r>
      <w:r>
        <w:rPr>
          <w:vertAlign w:val="subscript"/>
        </w:rPr>
        <w:t>sol;jul</w:t>
      </w:r>
      <w:r>
        <w:t>)“ määratluses asendatakse valemi „H</w:t>
      </w:r>
      <w:r>
        <w:rPr>
          <w:vertAlign w:val="subscript"/>
        </w:rPr>
        <w:t>sol;jul</w:t>
      </w:r>
      <w:r>
        <w:t>“ komponendi definitsiooni lõpus olev punkt semikooloniga ja komponendi definitsiooni muu komponendi määratlus. valem lisatakse järgmiselt:</w:t>
      </w:r>
    </w:p>
    <w:p w14:paraId="3DF606FE" w14:textId="65F10CC5" w:rsidR="005074AB" w:rsidRPr="009064BC" w:rsidRDefault="005074AB" w:rsidP="00A5780E">
      <w:pPr>
        <w:ind w:left="709"/>
        <w:jc w:val="both"/>
        <w:rPr>
          <w:rFonts w:cstheme="minorHAnsi"/>
        </w:rPr>
      </w:pPr>
      <w:r>
        <w:t>„A</w:t>
      </w:r>
      <w:r>
        <w:rPr>
          <w:vertAlign w:val="subscript"/>
        </w:rPr>
        <w:t>util</w:t>
      </w:r>
      <w:r>
        <w:t>pindala, mida peetakse HE 0 punkti 4.6 kohaseks.“</w:t>
      </w:r>
    </w:p>
    <w:p w14:paraId="22770CCD" w14:textId="56BB680A" w:rsidR="005074AB" w:rsidRPr="009064BC" w:rsidRDefault="005074AB" w:rsidP="005074AB">
      <w:pPr>
        <w:ind w:left="709" w:hanging="142"/>
        <w:jc w:val="both"/>
        <w:rPr>
          <w:rFonts w:cstheme="minorHAnsi"/>
        </w:rPr>
      </w:pPr>
      <w:r>
        <w:t>– Mõiste „Lõppenergia“ määratluses asendatakse sõnad „Kas tarbijad ostavad neid otse elektri, kütuste või muude kütustena“ sõnadega „Teenuste osutamiseks tarnitakse hoonesüsteemidele. Seda tarnitakse tavaliselt kütuste, kohapealse tootmise või konkreetsete võrkude (elekter, gaas, soojus- või jahutuspiirkond jne) kaudu.“</w:t>
      </w:r>
    </w:p>
    <w:p w14:paraId="4C32D5BC" w14:textId="77777777" w:rsidR="005074AB" w:rsidRPr="009064BC" w:rsidRDefault="005074AB" w:rsidP="005074AB">
      <w:pPr>
        <w:ind w:left="709" w:hanging="142"/>
        <w:jc w:val="both"/>
        <w:rPr>
          <w:rFonts w:cstheme="minorHAnsi"/>
        </w:rPr>
      </w:pPr>
      <w:r>
        <w:t>– Mõiste „Soojusläbitavus (U)“ määratlusse lisatakse määratluse lõppu järgmine lause:</w:t>
      </w:r>
    </w:p>
    <w:p w14:paraId="553E6F27" w14:textId="77777777" w:rsidR="005074AB" w:rsidRPr="009064BC" w:rsidRDefault="005074AB" w:rsidP="00A5780E">
      <w:pPr>
        <w:ind w:left="709"/>
        <w:jc w:val="both"/>
        <w:rPr>
          <w:rFonts w:cstheme="minorHAnsi"/>
        </w:rPr>
      </w:pPr>
      <w:r>
        <w:t>„Väljendatuna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A lisasse „Terminoloogia“ lisatakse järgmised mõisted:</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Abiseadmed</w:t>
      </w:r>
      <w:r>
        <w:t xml:space="preserve">: valgusega seotud elektri- või elektroonikaseadmed, mis on igat tüüpi </w:t>
      </w:r>
      <w:r>
        <w:rPr>
          <w:i/>
        </w:rPr>
        <w:t>valguse</w:t>
      </w:r>
      <w:r>
        <w:t xml:space="preserve"> puhul erinevad ning mille funktsioon on süüde ja töötingimuste reguleerimine. See abiseade, välja arvatud juhul, kui see on elektrooniline, koosneb starterist, liiteseadisest ja kondensaatorist.</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t>„</w:t>
      </w:r>
      <w:r>
        <w:rPr>
          <w:b/>
          <w:i/>
        </w:rPr>
        <w:t>Laadimisjaam</w:t>
      </w:r>
      <w:r>
        <w:t xml:space="preserve">: elementide kogum, mis on vajalik </w:t>
      </w:r>
      <w:r>
        <w:rPr>
          <w:i/>
        </w:rPr>
        <w:t>elektrisõiduki</w:t>
      </w:r>
      <w:r>
        <w:t xml:space="preserve"> ühendamiseks laadimiseks vajaliku paikse elektripaigaldisega. </w:t>
      </w:r>
      <w:r>
        <w:rPr>
          <w:i/>
        </w:rPr>
        <w:t>Laadimisjaamad</w:t>
      </w:r>
      <w:r>
        <w:t xml:space="preserve"> liigitatakse järgmiselt:</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Üks laadimispunkt, mis koosneb vajalikest kaitsemehhanismidest, ühest või mitmest pistikupesast, mis ei ole spetsiaalselt </w:t>
      </w:r>
      <w:r>
        <w:rPr>
          <w:i/>
        </w:rPr>
        <w:t>elektrisõidukile</w:t>
      </w:r>
      <w:r>
        <w:t xml:space="preserve"> ja vajaduse korral ümbrikule.</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lastRenderedPageBreak/>
        <w:t>2.</w:t>
      </w:r>
      <w:r>
        <w:tab/>
        <w:t xml:space="preserve">SAVE </w:t>
      </w:r>
      <w:r>
        <w:rPr>
          <w:i/>
        </w:rPr>
        <w:t>(Specific Electric Vehicle Power Supply System)</w:t>
      </w:r>
      <w:r>
        <w:t xml:space="preserve"> (elektrisõidukite eritoitesüsteem) tüüpi laadimispunkt.“</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Elektrisõidukite laadimistaristu:</w:t>
      </w:r>
      <w:r>
        <w:t xml:space="preserve"> füüsiliste ja loogikaseadmete komplekt, mis on ette nähtud </w:t>
      </w:r>
      <w:r>
        <w:rPr>
          <w:i/>
        </w:rPr>
        <w:t>elektrisõidukite</w:t>
      </w:r>
      <w:r>
        <w:t xml:space="preserve"> laadimiseks ja mis vastavad igal üksikjuhul madalpinge-elektrotehnilise eeskirjaga ette nähtud ohutus- ja käideldavuse nõuetele ning on võimelised pakkuma täielikku ja kõikehõlmavat laadimisteenust. Siia kuuluvad </w:t>
      </w:r>
      <w:r>
        <w:rPr>
          <w:i/>
        </w:rPr>
        <w:t>laadimisjaamad</w:t>
      </w:r>
      <w:r>
        <w:t>, juhtimissüsteem, elektrijuhtmed, elektrilised juht- ja kaitsepaneelid ning mõõteseadmed, kui need on ette nähtud üksnes elektrisõidukite laadimiseks.“</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i/>
        </w:rPr>
        <w:t>Specific Electric Vehicle Power System (SAVE)</w:t>
      </w:r>
      <w:r>
        <w:t xml:space="preserve"> (elektrisõidukite eritoitesüsteem): </w:t>
      </w:r>
      <w:r>
        <w:rPr>
          <w:i/>
        </w:rPr>
        <w:t>elektrisõiduki</w:t>
      </w:r>
      <w:r>
        <w:t xml:space="preserve"> laadimiseks kokkupandud seadmete komplekt, sealhulgas laadimisjaama kaitsevahendid, ühenduskaabel (faasi-, neutraal- ja kaitsejuhtmetega), pistikupesa alus või pistik ja vajaduse korral vahelduv-pidev muundur. See süsteem peab vajaduse korral võimaldama sidet </w:t>
      </w:r>
      <w:r>
        <w:rPr>
          <w:i/>
        </w:rPr>
        <w:t>elektrisõiduki</w:t>
      </w:r>
      <w:r>
        <w:t xml:space="preserve"> ja paigaldise vahel.“</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Isikliku eluasemena kasutamine</w:t>
      </w:r>
      <w:r>
        <w:t>: hoone või ala, mis on ette nähtud alaliseks elukohaks, olenemata ehitise liigist: eraldatud maja, korterelamu jne, nii avalikuks kui ka eraviisiliseks arenduseks.“</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Elektrisõiduk</w:t>
      </w:r>
      <w:r>
        <w:t>: mootorsõiduk, mis on varustatud jõuseadmerühmaga, millel on vähemalt üks mitteperifeerne elektriline mehhanism, mis töötab energiamuundurina ja on varustatud laetava elektrienergia salvestussüsteemiga, mida saab väljastpoolt laadida.“</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D lisa punktis 4 asendatakse tekst „Tunnustatud dokument“ tekstiga „Hoonete energiasertifitseerimise tunnustatud dokument“.</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H lisas „Hoone õhu läbilaskvuse kindlaksmääramine“ pärast jaotise pealkirja lõppu sõnad „Hoone õhu läbilaskvuse kindlaksmääramine peab toimuma ühel järgmistest meetoditest“ ja punktis 1 „Hüvitise läbilaskvuse määramine katsega“ sõnastus „Õhuvahetuse suhte väärtus 50 Pa, n50 juures saadakse katsetega UNE-EN 13829:2002 meetodi B kohaselt. Survestamise meetod ventilaatori abil.“ asendatakse järgmisega: „Õhuvahetuse suhte väärtus 50 Pa ja n50 juures katse abil saadakse UNE-EN ISO 9972:2019 hoonete soojustõhususe 1. või 2. meetodist. Hoonete õhu läbilaskvuse määramine. Ventilaatori survestamise meetod.“.</w:t>
      </w:r>
    </w:p>
    <w:p w14:paraId="153946FB" w14:textId="274D0F0F" w:rsidR="001E0B70" w:rsidRPr="003934E5" w:rsidRDefault="001E0B70" w:rsidP="005074AB">
      <w:pPr>
        <w:ind w:left="13"/>
        <w:jc w:val="both"/>
        <w:rPr>
          <w:rFonts w:cstheme="minorHAnsi"/>
        </w:rPr>
      </w:pPr>
      <w:r>
        <w:t>Kolmandaks.</w:t>
      </w:r>
      <w:r>
        <w:rPr>
          <w:b/>
        </w:rPr>
        <w:t xml:space="preserve"> </w:t>
      </w:r>
      <w:r>
        <w:t xml:space="preserve">Tehnilise ehitusseadustiku II osas sisalduvasse alusdokumenti DB-SUA „Kasutusohutus ja juurdepääsetavus“on tehtud järgmised muudatused: </w:t>
      </w:r>
    </w:p>
    <w:p w14:paraId="05134A28" w14:textId="08B7B404" w:rsidR="00A5780E" w:rsidRDefault="001E0B70" w:rsidP="00D722CA">
      <w:pPr>
        <w:ind w:left="13"/>
        <w:jc w:val="both"/>
        <w:rPr>
          <w:rFonts w:cstheme="minorHAnsi"/>
        </w:rPr>
      </w:pPr>
      <w:r>
        <w:t>A lisa „Terminoloogia“ jaotises SUA 9 „Juurdepääsetavus“ hõlmab mõiste „Juurdepääsetav parkimiskoht“ nüüd sidekriipsu, mille tekst on järgmine:</w:t>
      </w:r>
    </w:p>
    <w:p w14:paraId="791B9B63" w14:textId="2AEB4586" w:rsidR="00D722CA" w:rsidRPr="009064BC" w:rsidRDefault="0078611E" w:rsidP="0078611E">
      <w:pPr>
        <w:ind w:left="709"/>
        <w:jc w:val="both"/>
        <w:rPr>
          <w:rFonts w:cstheme="minorHAnsi"/>
        </w:rPr>
      </w:pPr>
      <w:r>
        <w:t>„– Kui juurdepääsetaval parkimiskohal on elektrisõidukite laadimisjaam, hõlmab juurdepääsetav teekond ka seda laadimisjaama. Nende laadimisjaamade toiteavad ja pistikud peavad olema keskkonnaga kromaatiliselt kontrastsed, asetatud 80–120 cm kõrgusele ja nurkadest vähemalt 35 cm kaugusele.“</w:t>
      </w:r>
    </w:p>
    <w:p w14:paraId="09F57FB9" w14:textId="78225EA3" w:rsidR="005074AB" w:rsidRPr="009064BC" w:rsidRDefault="00DF5914" w:rsidP="005074AB">
      <w:pPr>
        <w:ind w:left="13"/>
        <w:jc w:val="both"/>
        <w:rPr>
          <w:rFonts w:cstheme="minorHAnsi"/>
        </w:rPr>
      </w:pPr>
      <w:r>
        <w:t>Neljandaks. Tehnilise ehitusseadustiku II osas sisalduvasse põhidokumenti DB-HS „Tervishoid“ tehakse järgmine muudatus:</w:t>
      </w:r>
    </w:p>
    <w:p w14:paraId="6B818CBA" w14:textId="77777777" w:rsidR="002E7342" w:rsidRDefault="005074AB" w:rsidP="002E7342">
      <w:pPr>
        <w:pStyle w:val="ListParagraph"/>
        <w:numPr>
          <w:ilvl w:val="0"/>
          <w:numId w:val="22"/>
        </w:numPr>
        <w:jc w:val="both"/>
        <w:rPr>
          <w:rFonts w:cstheme="minorHAnsi"/>
        </w:rPr>
      </w:pPr>
      <w:r>
        <w:lastRenderedPageBreak/>
        <w:t>Jaotise HS 4 „Veevarustus“ punkti 2 alapunktis 3.2.2.1 asendatakse lause „päikeseenergia minimaalne panus sooja tarbevee tootmisse“ lausega „taastuvenergia minimaalne panus sooja tarbevee nõudluse katmisse“.</w:t>
      </w:r>
    </w:p>
    <w:p w14:paraId="49ACE665" w14:textId="4B95E48B" w:rsidR="005074AB" w:rsidRPr="003934E5" w:rsidRDefault="002F25C7" w:rsidP="009064BC">
      <w:pPr>
        <w:jc w:val="both"/>
        <w:rPr>
          <w:rFonts w:eastAsia="Arial" w:cstheme="minorHAnsi"/>
          <w:kern w:val="2"/>
        </w:rPr>
      </w:pPr>
      <w:r>
        <w:t>Viiendaks. Tehnilise ehitusseadustiku II osas sisalduvas alusdokumendis DB-HE „Energiasäästud“ märgitud vigade ja trükivigade parandused on järgmised:</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Jaotise HE 0, punkt 1 „Reguleerimisala“, punkt 1, kus see on sõnastatud järgmiselt: „...kui laiendatud kasulik pind on suurem kui 50 m</w:t>
      </w:r>
      <w:r>
        <w:rPr>
          <w:vertAlign w:val="superscript"/>
        </w:rPr>
        <w:t>2</w:t>
      </w:r>
      <w:r>
        <w:t>;“, asendatakse see järgmisega: „...kui laiendatud kasutatav pind ületab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Jaotis HE 0, punkt 3 „Nõude koguseline kindlaksmääramine“, punkt 3.1 „Taastuvenergia tarbimine“, punkt 2, kus see on sõnastatud järgmiselt: „... C</w:t>
      </w:r>
      <w:r>
        <w:rPr>
          <w:vertAlign w:val="subscript"/>
        </w:rPr>
        <w:t>ep’nren,lim</w:t>
      </w:r>
      <w:r>
        <w:t>...“, sõnastatakse järgmiselt: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Jaotise HE 0 punkt 3 „Nõude koguseline kindlaksmääramine“, punkt 3.2. „Primaarenergia kogutarbimine“, punkt 1, kus see on sõnastatud järgmiselt: “... C</w:t>
      </w:r>
      <w:r>
        <w:rPr>
          <w:vertAlign w:val="subscript"/>
        </w:rPr>
        <w:t>ep’tot</w:t>
      </w:r>
      <w:r>
        <w:t>...“, sõnastatakse järgmiselt: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Jaotise HE 0 punkt 3 „Nõude koguseline kindlaksmääramine“, punkt 3.2. „Primaarenergia kogutarbimine“, punkt 2, kus see on sõnastatud järgmiselt: „... C</w:t>
      </w:r>
      <w:r>
        <w:rPr>
          <w:vertAlign w:val="subscript"/>
        </w:rPr>
        <w:t>ep,tot</w:t>
      </w:r>
      <w:r>
        <w:t>...", sõnastatakse järgmiselt: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Jaotise HE 0, tabelites 3.1.a-HE0 ja 3.2.a-HE0 kasutatakse kursiivkirjas mõistet „</w:t>
      </w:r>
      <w:r>
        <w:rPr>
          <w:i/>
        </w:rPr>
        <w:t>isikliku eluasemena kasutuseks</w:t>
      </w:r>
      <w:r>
        <w:t>“. Punktides 3.1 „Taastumisvaba primaarenergia tarbimine“, punkt 2, ja 3.2. Primaarenergia kogutarbimine, punkt 2, peaks mõiste „</w:t>
      </w:r>
      <w:r>
        <w:rPr>
          <w:i/>
        </w:rPr>
        <w:t>isikliku eluasemena kasutamine</w:t>
      </w:r>
      <w:r>
        <w:t>“ olema kaldkirjas.</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Jaotise HE 0, punkti 4.3 „Sisetaotlused ja kasutustingimused“ punktis 2 peab kursiivkirjas olema mõiste „</w:t>
      </w:r>
      <w:r>
        <w:rPr>
          <w:i/>
        </w:rPr>
        <w:t>isikliku eluasemena kasutamine</w:t>
      </w:r>
      <w:r>
        <w:t>“.</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Jaotise HE 0, punktis 4.5 isikliku eluasemena kasutatavate võrdlussüsteemide puhul tuleks termin „</w:t>
      </w:r>
      <w:r>
        <w:rPr>
          <w:i/>
        </w:rPr>
        <w:t>isikliku eluasemena kasutamine</w:t>
      </w:r>
      <w:r>
        <w:t>“ esitada nii pealkirjas kui ka punktis 1.</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Jaotise HE 1 3. jagu „Nõude suuruse kindlaksmääramine“, punkt 3.11. Soojusümbrise läbitavus, tabelites 3.1.1.b-HE1 ja 3.1.1.c-HE1 esitatud mõiste „kompaktsus“ peaks olema kaldkirjas.</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Jaotise HE 1 3. jagu „Nõude suuruse kindlaksmääramine“, punkt 3.11. Soojusümbrise läbitavus, tabeli joonealustes märkustes 3.1.1.b-HE1 ja tabelites 3.1.1.c-HE1 esitatud mõiste „kompaktsus“ ning tabeli 3.1.1.c-HE1 tabeli joonealuses märkuses esitatud mõiste „kompaktsus“ peaks olema kaldkirjas.</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Jaotise HE 1 punkt 3 „Nõude koguseline kindlaksmääramine“, punkt 3.1.1. Soojusümbrise läbitavus, punkt 3, mõiste „</w:t>
      </w:r>
      <w:r>
        <w:rPr>
          <w:i/>
        </w:rPr>
        <w:t>isikliku eluasemena kasutamine</w:t>
      </w:r>
      <w:r>
        <w:t>“ tuleks esitada nii punktis 3 kui ka tabelis 3.1.1.b-HE1.</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Jaotise HE 1 punkt 3 „Nõude koguseline kindlaksmääramine“, punkt 3.1.1. Soojusümbrise läbitavus tabelis 3.1.1.c-HE1 peab „soojusümbris“ olema kaldkirjas.</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 xml:space="preserve">Jaotise HE 1 punkt 3, „Nõude koguseline kindlaksmääramine“, punkt 3.1.2 „Soojusümbrise päikesevalguse reguleerimine“, milles on sätestatud: „Tabel 3.1.2-HE1 </w:t>
      </w:r>
      <w:r>
        <w:lastRenderedPageBreak/>
        <w:t>„Päikesevalguse reguleerimise parameetri QSOL;jul,lim [KWh/m</w:t>
      </w:r>
      <w:r>
        <w:rPr>
          <w:vertAlign w:val="superscript"/>
        </w:rPr>
        <w:t>2</w:t>
      </w:r>
      <w:r>
        <w:t>·mes]“ piirväärtus peaks olema allindeksiga „sun;jul,lim“: „Tabel 3.1.2-HE1 Päikesevalguse reguleerimise parameetri q</w:t>
      </w:r>
      <w:r>
        <w:rPr>
          <w:vertAlign w:val="subscript"/>
        </w:rPr>
        <w:t>sol;jul,lim</w:t>
      </w:r>
      <w:r>
        <w:t xml:space="preserve"> [KWh/m</w:t>
      </w:r>
      <w:r>
        <w:rPr>
          <w:vertAlign w:val="superscript"/>
        </w:rPr>
        <w:t>2</w:t>
      </w:r>
      <w:r>
        <w:t>·mes] piirväärtus“.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Jaotise HE 1 punktis 3 „Nõude suuruse kindlaksmääramine“ punktis 3.1.3 „soojusümbrise õhuläbilaskvus“ peaks termin „soojusümbris“ olema kaldkirjas.</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Jaotise HE 1 punktis 3 „Nõude koguseline kindlaksmääramine“, punktis 3.1.3 „soojusümbrise läbilaskvus“, tabelis 3.1.3.b-HE1 esitatud mõiste „kompaktsus“, tabeli 3.1.3.b-HE1 tabelis esitatud mõiste „kompaktsus“ ja punktis 3 esitatud mõiste „isikliku eluasemena kasutamine“ peaksid olema kaldkirjas.</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Jaotise HE 1 punktis 4 „Nõude põhjendatus“ peab olema kaldkirjas kursiivkirjas punktis 4.1.b esitatud mõiste „kompaktsus“ ja punktis 4.1.g esitatud mõiste „isikliku eluasemena kasutamine“.</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Jaotise HE 4 punktis 3 „Nõude suuruse kindlaksmääramine“, punkt 3.1. „Minimaalne taastuvenergia panus DHW ja/või basseinikütte puhul“, punkt 4, kus on sätestatud: „... elektrilise käitamise korral rohkem kui 2,5 ja soojusenergiaga töötamisel suurem kui 1,15...“ asendatakse järgmisega: „... elektrilise töötamise korral vähemalt 2,5 ja soojusenergiaga töötamisel vähemalt 1,15...“.</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Jaotise HE 4 punktis 3 „Nõude suuruse kindlaksmääramine“, punkt 3.1. „Minimaalne taastuvenergia panus DHW ja/või basseinikütte puhul“, punkt 5, kus on sätestatud: „... elamud...“ sõnastatakse järgmiselt: „... isikliku eluasemena kasutamine...“</w:t>
      </w:r>
    </w:p>
    <w:p w14:paraId="198A06EA" w14:textId="307304FC" w:rsidR="005074AB" w:rsidRPr="009064BC" w:rsidRDefault="003E1EAB" w:rsidP="00547307">
      <w:pPr>
        <w:numPr>
          <w:ilvl w:val="0"/>
          <w:numId w:val="15"/>
        </w:numPr>
        <w:ind w:left="714" w:hanging="357"/>
        <w:jc w:val="both"/>
        <w:rPr>
          <w:rFonts w:cstheme="minorHAnsi"/>
        </w:rPr>
      </w:pPr>
      <w:r>
        <w:t xml:space="preserve">Jaotises HE 4 enne punkti „5.1. „Täitmine“ lisatakse järgmine tekst „5. Ehitus, hooldus ja korrashoid“ pealkirjana.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Leheküljel 140553 A lisa terminoloogia määratluses „Soojusülekande koefitsient kokku (hoone soojusümbrise kaudu) (K)“, kus see on sõnastatud järgmiselt: „... K = X Hx/Aint..." asendatakse allindeksiga „x“, „x“ ja „int“: „... K = Σ</w:t>
      </w:r>
      <w:r>
        <w:rPr>
          <w:vertAlign w:val="subscript"/>
        </w:rPr>
        <w:t>x</w:t>
      </w:r>
      <w:r>
        <w:t xml:space="preserve"> H</w:t>
      </w:r>
      <w:r>
        <w:rPr>
          <w:vertAlign w:val="subscript"/>
        </w:rPr>
        <w:t>x</w:t>
      </w:r>
      <w:r>
        <w:t xml:space="preserve"> / 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A lisa terminoloogia määratluses „kokkulepitus“ teises lõigus peaks sõna „kompaktsus“ olema kaldkirjas.</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A lisa terminoloogia mõistes „Käitamistingimused“ peaks termin „isikliku eluasemena kasutamine“ olema kaldkirjas.</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A lisa terminoloogia määratluses „Taastuvenergia tarbimine“, kus see on sõnastatud järgmiselt: „... Taastumatu primaarenergia tarbimine...“ tuleks lugeda „ep,nren“ allindeksis: „... Taastumatu primaarenergia tarbimine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A lisa terminoloogia määratluses „primaarenergia kogutarbimine“, kus on öeldud: „... Primaarenergia kogutarbimine...“ asendatakse sõnaga „ep,tot“ allindeksis: „... Primaarenergia kogutarbimine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A lisa terminoloogia määratluses „päikesekontroll (q</w:t>
      </w:r>
      <w:r>
        <w:rPr>
          <w:vertAlign w:val="subscript"/>
        </w:rPr>
        <w:t>sol;ju</w:t>
      </w:r>
      <w:r>
        <w:t>)“, kus see on sõnastatud järgmiselt: „... ruumi kasulik pind...“ sõnastatakse järgmiselt: „... eluruumide kasulik pind...“.</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A lisa terminoloogia mõistes „Konditsioneeritud eluruum“ peaks mõiste „isikliku eluasemena kasutamine“ olema kaldkirjas.</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lastRenderedPageBreak/>
        <w:t>A lisa terminoloogia määratluses „Kasutuse aeg“ teises lõigus esitatud mõiste „isikliku eluasemena kasutamine“ peaks olema kaldkirjas.</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A lisa terminoloogia määratluses „Energiatõhususe väärtus käitises (VEEI)“ peaks mõiste „isikliku eluasemena kasutamine“ olema kaldkirjas.</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C lisa „Soojusümbrise määratlusega seotud kaalutlused“ pealkirjas peaks olema esitatud kaldkirjas.</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D lisa kasutustingimuste ja kasutusprofiilide pealkirjas tuleb mõisted „Kasutustingimused“ ja „Kasutusprofiilid“ pealkirjas, lõikes 2 ja tabelites a – D lisa, tabeli b – D lisa ja tabelis c – D lisa kaldkirjas märkida.</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E lisas „Läbitavuse soovituslikud väärtused“ peab punktis 1 esitatud mõiste „isikliku eluasemena kasutamine“ olema kaldkirjas.</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F lisa ACS võrdlusnõudlus peaks mõiste „isikliku eluasemena kasutamine“ olema kursiivkirjas nii punktis 1 kui ka tabelis a-lisa F.</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H lisa „Hoone õhu läbilaskvuse kindlaksmääramine“ 2. jaotises „Ehitise läbilaskvuse määramine kontrollväärtuste alusel“, kus see on järgmine: „... 2. Õhuvahetuse suhte väärtuse 50 Pa, n50 saab arvutada järgmise valemi põhjal:“ see peaks olema järgmine: „... 1. Õhuvahetuse suhte väärtus 50 Pa, n50 võrdlusväärtustega saadakse järgmise valemi abil: „kui see on sõnastatud järgmiselt: „n</w:t>
      </w:r>
      <w:r>
        <w:rPr>
          <w:vertAlign w:val="subscript"/>
        </w:rPr>
        <w:t>50</w:t>
      </w:r>
      <w:r>
        <w:t xml:space="preserve"> = 0,629·  (C</w:t>
      </w:r>
      <w:r>
        <w:rPr>
          <w:vertAlign w:val="subscript"/>
        </w:rPr>
        <w:t>o</w:t>
      </w:r>
      <w:r>
        <w:t>·  A</w:t>
      </w:r>
      <w:r>
        <w:rPr>
          <w:vertAlign w:val="subscript"/>
        </w:rPr>
        <w:t>o</w:t>
      </w:r>
      <w:r>
        <w:t xml:space="preserve"> + C</w:t>
      </w:r>
      <w:r>
        <w:rPr>
          <w:vertAlign w:val="subscript"/>
        </w:rPr>
        <w:t>h</w:t>
      </w:r>
      <w:r>
        <w:t>·  A</w:t>
      </w:r>
      <w:r>
        <w:rPr>
          <w:vertAlign w:val="subscript"/>
        </w:rPr>
        <w:t>h</w:t>
      </w:r>
      <w:r>
        <w:t>) / V“ peaks olema järgmine: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w:t>
      </w:r>
      <w:r>
        <w:rPr>
          <w:vertAlign w:val="subscript"/>
        </w:rPr>
        <w:t>in</w:t>
      </w:r>
      <w:r>
        <w:t>“, kus on kirjas: „V on soojusümbrise siseruumala [m</w:t>
      </w:r>
      <w:r>
        <w:rPr>
          <w:vertAlign w:val="superscript"/>
        </w:rPr>
        <w:t>3</w:t>
      </w:r>
      <w:r>
        <w:t>]“ sõnastatakse järgmiselt: „V</w:t>
      </w:r>
      <w:r>
        <w:rPr>
          <w:vertAlign w:val="subscript"/>
        </w:rPr>
        <w:t>int</w:t>
      </w:r>
      <w:r>
        <w:t xml:space="preserve"> on </w:t>
      </w:r>
      <w:r>
        <w:rPr>
          <w:i/>
        </w:rPr>
        <w:t>soojusümbrise</w:t>
      </w:r>
      <w:r>
        <w:t xml:space="preserve"> siseruumala [m</w:t>
      </w:r>
      <w:r>
        <w:rPr>
          <w:vertAlign w:val="superscript"/>
        </w:rPr>
        <w:t>3</w:t>
      </w:r>
      <w:r>
        <w:t>]“ ja kus see on järgmine: „A</w:t>
      </w:r>
      <w:r>
        <w:rPr>
          <w:vertAlign w:val="subscript"/>
        </w:rPr>
        <w:t>o</w:t>
      </w:r>
      <w:r>
        <w:t xml:space="preserve"> on soojusümbrise läbipaistmatu osa pindala [m</w:t>
      </w:r>
      <w:r>
        <w:rPr>
          <w:vertAlign w:val="superscript"/>
        </w:rPr>
        <w:t>2</w:t>
      </w:r>
      <w:r>
        <w:t>]“ asendatakse järgmisega: „A</w:t>
      </w:r>
      <w:r>
        <w:rPr>
          <w:vertAlign w:val="subscript"/>
        </w:rPr>
        <w:t>o</w:t>
      </w:r>
      <w:r>
        <w:t xml:space="preserve"> on </w:t>
      </w:r>
      <w:r>
        <w:rPr>
          <w:i/>
        </w:rPr>
        <w:t>soojusümbrise</w:t>
      </w:r>
      <w:r>
        <w:t xml:space="preserve"> läbipaistmatu osa pindala [m</w:t>
      </w:r>
      <w:r>
        <w:rPr>
          <w:vertAlign w:val="superscript"/>
        </w:rPr>
        <w:t>2</w:t>
      </w:r>
      <w:r>
        <w:t>], mis puutub kokku välisõhuga“.</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H lisas „Hoone õhu läbilaskvuse kindlaksmääramine“ tuleks mõistete V</w:t>
      </w:r>
      <w:r>
        <w:rPr>
          <w:vertAlign w:val="subscript"/>
        </w:rPr>
        <w:t>int</w:t>
      </w:r>
      <w:r>
        <w:t>, C</w:t>
      </w:r>
      <w:r>
        <w:rPr>
          <w:vertAlign w:val="subscript"/>
        </w:rPr>
        <w:t>o</w:t>
      </w:r>
      <w:r>
        <w:t>, C</w:t>
      </w:r>
      <w:r>
        <w:rPr>
          <w:vertAlign w:val="subscript"/>
        </w:rPr>
        <w:t>h</w:t>
      </w:r>
      <w:r>
        <w:t>, A</w:t>
      </w:r>
      <w:r>
        <w:rPr>
          <w:vertAlign w:val="subscript"/>
        </w:rPr>
        <w:t>h</w:t>
      </w:r>
      <w:r>
        <w:t xml:space="preserve"> ja H lisa tabelis esitatakse mõiste „soojusümbris“ kaldkirjas.</w:t>
      </w:r>
    </w:p>
    <w:p w14:paraId="7A548AE7" w14:textId="77777777" w:rsidR="0024794E" w:rsidRDefault="002F25C7" w:rsidP="0024794E">
      <w:pPr>
        <w:spacing w:before="200" w:after="100" w:line="240" w:lineRule="auto"/>
        <w:jc w:val="both"/>
        <w:rPr>
          <w:rFonts w:eastAsia="Arial" w:cstheme="minorHAnsi"/>
          <w:kern w:val="2"/>
          <w:szCs w:val="24"/>
        </w:rPr>
      </w:pPr>
      <w:r>
        <w:t xml:space="preserve">Kuuendaks. Täheldatud vigade ja trükivigade parandused on järgmised: Tehnilise ehitusseadustiku II osas sisalduv alusdokument DB-HS „Sanitaartingimused“: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Jaotise HS „Veevarustus“ punktis 6.2 asendatakse täht „e) polüvinüülkloriidklooritud (PVC-C) torud vastavalt UNE-EN ISO 15874-1:2013, UNE-EN ISO 15874-2:2013 ja UNE-EN ISO 15874-3:2013; „tähega „e) polüklooritud vinüülkloriid (PVC-C) torud vastavalt UNE-EN ISO 15877-1:2009 (+UNE-EN ISO 15877-1:2009/A1): 2011), UNE-EN ISO 15877–2:2009 (+UNE-EN ISO 15877–2:2009/A1: 2011) ja UNE-EN ISO 15877–3:2009 (+UNE-EN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N jaotise HS 4 „Veevarustus“ punktis 6.2 asendatakse täht „h) polübutüleentorud (PB) vastavalt UNE-EN ISO 15876–1:2017, UNE-EN ISO 15876–2:2017 ja UNE-EN ISO 15876–3:2017;“ tähega „h) polübutüleentorud (PB) vastavalt UNE-EN ISO 15876–1:2017, UNE-EN ISO 15876–2:2017 ja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Liites C. Võrdlusstandardid, kus see on sõnastatud järgmiselt: „Kuuma ja külma vee rajatiste plasttorustikud. Polübutüleen (PB). 1. osa: Üldine“ sõnastatakse järgmiselt: „Kuuma ja külma vee rajatiste plasttorustikud. Polübuteen (PB) 1. osa: Üldsätted</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Liites C. Võrdlusstandardid, kus see on sõnastatud järgmiselt: „Kuuma ja külma vee rajatiste plasttorustikud. Polübutüleen (PB). 2. osa: Torud“ peaks olema järgmine: „Kuuma ja külma vee rajatiste plasttorustikud. Polübuteen (PB) 2. osa: Torud,</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lastRenderedPageBreak/>
        <w:t>Liites C. Võrdlusstandardid, kus see on sõnastatud järgmiselt: „Kuuma ja külma vee rajatiste plasttorustikud. Polübutüleen (PB). 3. osa: Abiseadmed“ asendatakse järgmisega: „Kuuma ja külma vee rajatiste plasttorustikud. Polübuteen (PB) 3. osa: Liitmikud</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Liites C. Võrdlusstandardid lisatakse pärast viidet standardile „UNE-EN ISO 15876–3: 2017</w:t>
      </w:r>
      <w:r>
        <w:tab/>
        <w:t>Plasttorustikud kuuma ja külma vee rajatiste jaoks. Polübuteen (PB) 3. osa: Liitmikud“ järgmised standardid:</w:t>
      </w:r>
    </w:p>
    <w:p w14:paraId="5A496CEC" w14:textId="6500843E" w:rsidR="00AD074F" w:rsidRDefault="00AD074F" w:rsidP="0024794E">
      <w:pPr>
        <w:pStyle w:val="ListParagraph"/>
        <w:spacing w:after="120"/>
        <w:ind w:left="709"/>
        <w:jc w:val="both"/>
      </w:pPr>
      <w:r>
        <w:t xml:space="preserve">„Une-EN ISO 15877–1:2009 Plastist torusüsteemid kuuma ja külma vee paigaldamiseks. Klooritud polü(vinüülkloriid) (PVC-C). 1. osa: Üldsätted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Plastist torustikud kuuma ja külma vee paigaldiste jaoks. Klooritud polü(vinüülkloriid) (PVC-C). 2. osa: Torud,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Plastist torustikud kuuma ja külma vee paigaldiste jaoks. Klooritud polü(vinüülkloriid) (PVC-C). 3. osa: Liitmikud (+UNE-EN ISO 15877–3:2009/A1:2011)</w:t>
      </w:r>
    </w:p>
    <w:p w14:paraId="30F2E766" w14:textId="038A7758" w:rsidR="005074AB" w:rsidRPr="00431D05" w:rsidRDefault="005074AB" w:rsidP="005074AB">
      <w:pPr>
        <w:jc w:val="both"/>
        <w:rPr>
          <w:rFonts w:cstheme="minorHAnsi"/>
          <w:bCs/>
          <w:i/>
          <w:iCs/>
        </w:rPr>
      </w:pPr>
      <w:r>
        <w:t xml:space="preserve">Esimene üleminekusäte. </w:t>
      </w:r>
      <w:r>
        <w:rPr>
          <w:i/>
        </w:rPr>
        <w:t>Hooned, mille suhtes ei kohaldata käesoleva kuningliku dekreedi sätteid.</w:t>
      </w:r>
    </w:p>
    <w:p w14:paraId="71A41130" w14:textId="7184244B" w:rsidR="005074AB" w:rsidRPr="009064BC" w:rsidRDefault="005074AB" w:rsidP="005074AB">
      <w:pPr>
        <w:jc w:val="both"/>
        <w:rPr>
          <w:rFonts w:cstheme="minorHAnsi"/>
        </w:rPr>
      </w:pPr>
      <w:r>
        <w:t xml:space="preserve">Käesoleva kuningliku dekreediga vastu võetud tehnuilise ehitusseadustiku muudatusi ei kohaldata uutele hoonetele või olemasolevate hoonetega seotud töödele, mis on käesoleva kuningliku dekreedi jõustumise ajal juba taotlenud munitsipaalehitusluba. </w:t>
      </w:r>
    </w:p>
    <w:p w14:paraId="6E353956" w14:textId="262DE845" w:rsidR="007B11B1" w:rsidRDefault="005074AB" w:rsidP="005074AB">
      <w:pPr>
        <w:jc w:val="both"/>
        <w:rPr>
          <w:rFonts w:cstheme="minorHAnsi"/>
        </w:rPr>
      </w:pPr>
      <w:r>
        <w:t>Sellised ehitustööd algavad nimetatud loa maksimaalse tõhususe tähtaja jooksul vastavalt selle kehtivatele eeskirjadele või selle puudumisel kuue kuu jooksul alates nimetatud loa andmisest. Vastasel juhul tuleb projekte kohandada vastavalt käesoleva kuningliku dekreediga heaks kiidetud CTE muudatustele.</w:t>
      </w:r>
    </w:p>
    <w:p w14:paraId="78DABA03" w14:textId="77777777" w:rsidR="005074AB" w:rsidRPr="00D47CC2" w:rsidRDefault="005074AB" w:rsidP="005074AB">
      <w:pPr>
        <w:jc w:val="both"/>
        <w:rPr>
          <w:rFonts w:cstheme="minorHAnsi"/>
          <w:bCs/>
          <w:i/>
          <w:iCs/>
        </w:rPr>
      </w:pPr>
      <w:r>
        <w:t xml:space="preserve">Teine üleminekusäte. </w:t>
      </w:r>
      <w:r>
        <w:rPr>
          <w:i/>
        </w:rPr>
        <w:t>Hooned, mille puhul käesoleva kuningliku dekreedi sätete kohaldamine on vabatahtlik.</w:t>
      </w:r>
    </w:p>
    <w:p w14:paraId="047CBC16" w14:textId="1E288EF7" w:rsidR="00CA5D2D" w:rsidRPr="00B24946" w:rsidRDefault="005074AB" w:rsidP="005074AB">
      <w:pPr>
        <w:jc w:val="both"/>
        <w:rPr>
          <w:rFonts w:cstheme="minorHAnsi"/>
        </w:rPr>
      </w:pPr>
      <w:r>
        <w:t xml:space="preserve">Käesoleva kuningliku dekreediga heaks kiidetud tehnilise ehitusseadustiku muudatusi kohaldatakse vabatahtlikult uutele ehitustöödele ja olemasolevate hoonete ehitustöödele, mille jaoks on kuue kuu jooksul alates käesoleva kuningliku dekreedi jõustumisest mõlemal juhul nõutav munitsipaalehitusluba. </w:t>
      </w:r>
    </w:p>
    <w:p w14:paraId="0F321A96" w14:textId="5FE37BEE" w:rsidR="00CA5D2D" w:rsidRDefault="00CA5D2D" w:rsidP="00CA5D2D">
      <w:pPr>
        <w:jc w:val="both"/>
        <w:rPr>
          <w:rFonts w:cstheme="minorHAnsi"/>
        </w:rPr>
      </w:pPr>
      <w:r>
        <w:t>Sellised ehitustööd algavad nimetatud loa maksimaalse tõhususe tähtaja jooksul vastavalt selle kehtivatele eeskirjadele või selle puudumisel kuue kuu jooksul alates nimetatud loa andmisest. Vastasel juhul tuleb projekte kohandada vastavalt käesoleva kuningliku dekreediga heaks kiidetud CTE muudatustele.</w:t>
      </w:r>
    </w:p>
    <w:p w14:paraId="1B48DE1E" w14:textId="77777777" w:rsidR="005074AB" w:rsidRPr="00D47CC2" w:rsidRDefault="005074AB" w:rsidP="005074AB">
      <w:pPr>
        <w:jc w:val="both"/>
        <w:rPr>
          <w:rFonts w:cstheme="minorHAnsi"/>
          <w:bCs/>
          <w:i/>
          <w:iCs/>
        </w:rPr>
      </w:pPr>
      <w:r>
        <w:t xml:space="preserve">Kolmas üleminekusäte. </w:t>
      </w:r>
      <w:r>
        <w:rPr>
          <w:i/>
        </w:rPr>
        <w:t>Hooned, mille puhul käesoleva kuningliku dekreedi sätete kohaldamine on kohustuslik.</w:t>
      </w:r>
    </w:p>
    <w:p w14:paraId="557DDCCB" w14:textId="624E2145" w:rsidR="005074AB" w:rsidRDefault="005074AB" w:rsidP="005074AB">
      <w:pPr>
        <w:jc w:val="both"/>
        <w:rPr>
          <w:rFonts w:cstheme="minorHAnsi"/>
        </w:rPr>
      </w:pPr>
      <w:r>
        <w:t>Käesoleva kuningliku dekreediga vastu võetud tehnilise ehitusseadustiku muudatuste kohaldamine on kohustuslik uute hoonete või olemasolevate hoonetega seotud tööde puhul, mis taotlevad munitsipaalehitusluba, hiljemalt üheksa kuud pärast käesoleva sätte jõustumist.</w:t>
      </w:r>
    </w:p>
    <w:p w14:paraId="588C44EA" w14:textId="52803F33" w:rsidR="005074AB" w:rsidRPr="00D47CC2" w:rsidRDefault="005074AB" w:rsidP="005074AB">
      <w:pPr>
        <w:jc w:val="both"/>
        <w:rPr>
          <w:rFonts w:cstheme="minorHAnsi"/>
          <w:bCs/>
          <w:i/>
          <w:iCs/>
        </w:rPr>
      </w:pPr>
      <w:r>
        <w:lastRenderedPageBreak/>
        <w:t xml:space="preserve">Esimene lõppsäte. </w:t>
      </w:r>
      <w:r>
        <w:rPr>
          <w:i/>
        </w:rPr>
        <w:t>12. detsembri kuningliku dekreedi 1053/2014 muudatus, millega kiidetakse heaks uus täiendav tehniline juhend BT 52 „Eriotstarbelised käitised. Elektrisõidukite laadimistaristu“ muudetakse 2. augusti kuningliku dekreediga 842/2002 heaks kiidetud madalpinge elektrotehniliste eeskirjade ja muude täiendavate tehniliste juhistega.</w:t>
      </w:r>
    </w:p>
    <w:p w14:paraId="183CB7CD" w14:textId="78A1B469" w:rsidR="005074AB" w:rsidRPr="009064BC" w:rsidRDefault="005074AB" w:rsidP="005074AB">
      <w:pPr>
        <w:jc w:val="both"/>
        <w:rPr>
          <w:rFonts w:cstheme="minorHAnsi"/>
        </w:rPr>
      </w:pPr>
      <w:r>
        <w:t>Esiteks. 12. detsembri 2014. aasta kuningliku dekreedi 1053/2014 esimest lisasätet, millega kiidetakse heaks uus täiendav tehniline juhend BT 52, muudetakse ja see sõnastatakse järgmiselt:</w:t>
      </w:r>
    </w:p>
    <w:p w14:paraId="6C63F170" w14:textId="77777777" w:rsidR="005074AB" w:rsidRPr="009064BC" w:rsidRDefault="005074AB" w:rsidP="005074AB">
      <w:pPr>
        <w:ind w:left="567"/>
        <w:jc w:val="both"/>
        <w:rPr>
          <w:rFonts w:cstheme="minorHAnsi"/>
        </w:rPr>
      </w:pPr>
      <w:r>
        <w:t>„Esimene lisasäte. Minimaalsed ehituslikud rajatised elektrisõidukite laadimiseks parklates, mis ei ole eraldatud hoonetele, mis on äsja ehitatud või mida oluliselt renoveeritakse, ning avalikel teedel.</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Uutes parklates või oluliselt renoveeritavates parklates, mis ei asu hoones või külgnevad hoonega ja jäävad seetõttu tehnilise ehitusseadustiku energiasäästmise põhidokumendi (DB HE) reguleerimisalast välja, tuleb iga 40 parkimiskoha kohta paigaldada vähemalt üks laadimisjaam. Parkla loetakse äsja ehitatuks, kui ehitusprojekt esitatakse pädevale ametiasutusele töötlemiseks pärast käesoleva kuningliku dekreedi jõustumist. </w:t>
      </w:r>
    </w:p>
    <w:p w14:paraId="0C99327A" w14:textId="0AD5DDFE" w:rsidR="005074AB" w:rsidRPr="009064BC" w:rsidRDefault="005074AB" w:rsidP="002F659F">
      <w:pPr>
        <w:numPr>
          <w:ilvl w:val="0"/>
          <w:numId w:val="11"/>
        </w:numPr>
        <w:ind w:left="1418" w:hanging="284"/>
        <w:contextualSpacing/>
        <w:jc w:val="both"/>
        <w:rPr>
          <w:rFonts w:cstheme="minorHAnsi"/>
        </w:rPr>
      </w:pPr>
      <w:r>
        <w:t>Tuleb tagada rajatised, mis on vajalikud elektrisõidukiruumides asuvate laadimisjaamade varustamiseks linnaülestes või kohalike omavalitsuste säästva liikuvuse kavades ette nähtud avalikel teedel.“</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Teiseks. INSTRUCCIÓN TÉCNICA COMPLEMENTARIA (ITC) BT-52 punkti 3.2 muudetakse ja sõnastatakse järgmiselt:</w:t>
      </w:r>
    </w:p>
    <w:p w14:paraId="6A13CA56" w14:textId="2BC47FB2" w:rsidR="005074AB" w:rsidRPr="009064BC" w:rsidRDefault="005074AB" w:rsidP="005074AB">
      <w:pPr>
        <w:ind w:left="567"/>
        <w:jc w:val="both"/>
        <w:rPr>
          <w:rFonts w:cstheme="minorHAnsi"/>
        </w:rPr>
      </w:pPr>
      <w:r>
        <w:t xml:space="preserve">„3.2 Hoonete paigaldamine parklatesse või ühisparklatesse, mis asuvad hoonete või hoonekomplekside kõrval. </w:t>
      </w:r>
    </w:p>
    <w:p w14:paraId="14463364" w14:textId="6F4941EA" w:rsidR="005074AB" w:rsidRPr="003934E5" w:rsidRDefault="005074AB" w:rsidP="005074AB">
      <w:pPr>
        <w:ind w:left="567"/>
        <w:jc w:val="both"/>
        <w:rPr>
          <w:rFonts w:cstheme="minorHAnsi"/>
        </w:rPr>
      </w:pPr>
      <w:r>
        <w:t xml:space="preserve">Elektripaigaldised </w:t>
      </w:r>
      <w:r>
        <w:rPr>
          <w:i/>
        </w:rPr>
        <w:t>elektrisõidukite laadimiseks</w:t>
      </w:r>
      <w:r>
        <w:t xml:space="preserve"> asuvad parklates või parklates, mis asuvad hoonetes või elamurajoonides või on nendega ühendatud, peavad järgima kõiki eespool kirjeldatud skeeme.</w:t>
      </w:r>
      <w:r>
        <w:rPr>
          <w:color w:val="000000" w:themeColor="text1"/>
        </w:rPr>
        <w:t xml:space="preserve"> </w:t>
      </w:r>
      <w:r>
        <w:t>Samas hoones võib kasutada erinevaid diagramme, tingimusel et kõik käesolevas (ITC) BT-52s sätestatud nõuded on täidetud.</w:t>
      </w:r>
    </w:p>
    <w:p w14:paraId="642E3740" w14:textId="7634F88A" w:rsidR="005074AB" w:rsidRPr="009064BC" w:rsidRDefault="005074AB" w:rsidP="005074AB">
      <w:pPr>
        <w:ind w:left="567"/>
        <w:jc w:val="both"/>
        <w:rPr>
          <w:rFonts w:cstheme="minorHAnsi"/>
        </w:rPr>
      </w:pPr>
      <w:r>
        <w:t>Kava 4a puhul peab laadimisahel vastama (ITC) BT-15s kirjeldatud paigaldustingimustele, kasutades sama tüüpi ja sama laadi ja sama laadi juhtimissüsteeme kui individuaalse möödaviigu puhul, ning kaablilõik arvutatakse käesoleva ITC 5. jaotise üldnõuete kohaselt. Kasutatava juhtimissüsteemi läbimõõdu või põikimõõtmete määramiseks ei ole vaja ette näha kaablite sektsiooni laiendamist.</w:t>
      </w:r>
    </w:p>
    <w:p w14:paraId="5C0A8DBB" w14:textId="77777777" w:rsidR="005074AB" w:rsidRPr="009064BC" w:rsidRDefault="005074AB" w:rsidP="005074AB">
      <w:pPr>
        <w:ind w:left="567"/>
        <w:jc w:val="both"/>
        <w:rPr>
          <w:rFonts w:cstheme="minorHAnsi"/>
        </w:rPr>
      </w:pPr>
      <w:r>
        <w:t>Skeemi 4b kasutatakse siis, kui laadimisjaamade varustamine on kavandatud garaažide üldteenuseid osutava elektripaigaldise lahutamatuks osaks või laienduseks.</w:t>
      </w:r>
    </w:p>
    <w:p w14:paraId="1BEC25F6" w14:textId="7E6AD67A" w:rsidR="005074AB" w:rsidRPr="009064BC" w:rsidRDefault="00D676D8" w:rsidP="005074AB">
      <w:pPr>
        <w:ind w:left="567"/>
        <w:jc w:val="both"/>
        <w:rPr>
          <w:rFonts w:cstheme="minorHAnsi"/>
        </w:rPr>
      </w:pPr>
      <w:r>
        <w:t>Nii olemasolevates kui ka uutes seadmetes ning valitud elektriskeemi kasutamise hõlbustamiseks võivad üldkaitsega tabelid ja muud elektrisõidukite laadimisseadmed asuda selleks ettenähtud ruumides või ühisruumides.</w:t>
      </w:r>
    </w:p>
    <w:p w14:paraId="3AA0FB18" w14:textId="5CA8F82A" w:rsidR="005074AB" w:rsidRPr="009064BC" w:rsidRDefault="005074AB" w:rsidP="00904550">
      <w:pPr>
        <w:ind w:left="567"/>
        <w:jc w:val="both"/>
        <w:rPr>
          <w:rFonts w:cstheme="minorHAnsi"/>
        </w:rPr>
      </w:pPr>
      <w:r>
        <w:t xml:space="preserve">Elektrisõidukite laadimise elektriline eelpaigaldamine hoonete või hoonekompleksidega külgnevatesse parklatesse peab hõlbustama mis tahes võimaliku paigaldusskeemi edasist kasutamist. See hõlmab järgmisi elemente: </w:t>
      </w:r>
    </w:p>
    <w:p w14:paraId="4CCD8B27" w14:textId="732EDA20" w:rsidR="005074AB" w:rsidRPr="009064BC" w:rsidRDefault="005074AB" w:rsidP="005074AB">
      <w:pPr>
        <w:numPr>
          <w:ilvl w:val="0"/>
          <w:numId w:val="12"/>
        </w:numPr>
        <w:ind w:left="1418" w:hanging="284"/>
        <w:jc w:val="both"/>
        <w:rPr>
          <w:rFonts w:cstheme="minorHAnsi"/>
        </w:rPr>
      </w:pPr>
      <w:r>
        <w:lastRenderedPageBreak/>
        <w:t>kaabli juhtimissüsteemide paigaldamine arvestite tsentraliseerimisest ja parklate põhiteedelt, et hiljem oleks võimalik juhtida laadimisjaamu, mis võivad asuda üksikutes parkimiskohtades või parklates. Kui eelpaigaldus on kavandatud 100 % ruumidele, peavad kaabli juhtivussüsteemid jõudma igasse ruumi. Kui eelpaigaldus ei ole kavandatud 100 % ruumidele, tuleb määratleda ruumid, mida peetakse kaabli juhtivussüsteemide õigusnormidele vastavaks, ning need süsteemid peavad jõudma igasse nimetatud ruumi.</w:t>
      </w:r>
    </w:p>
    <w:p w14:paraId="0460434B" w14:textId="6073EA36" w:rsidR="005074AB" w:rsidRPr="009064BC" w:rsidRDefault="005074AB" w:rsidP="00281B93">
      <w:pPr>
        <w:numPr>
          <w:ilvl w:val="0"/>
          <w:numId w:val="12"/>
        </w:numPr>
        <w:jc w:val="both"/>
        <w:rPr>
          <w:rFonts w:cstheme="minorHAnsi"/>
        </w:rPr>
      </w:pPr>
      <w:r>
        <w:t>Arvestite tsentraliseerimine toimub vastavalt elektrisõiduki laadimiseks valitud elektriskeemile ja vastavalt (ITC) BT-16 sätetele. Varumoodulid peavad olema paigaldatud vähemalt 20 %-le garaažiruumidest, mis ei ole seotud eluruumiga, ja isegi kui kõik ruumid on seotud eluruumidega vähemalt ühe varumooduli jaoks. Need varumoodulid peavad suutma majutada peaarvestit ja mõõturiga seotud ülevoolukaitseseadmeid kas kaitsmete või kaitselülititega.</w:t>
      </w:r>
    </w:p>
    <w:p w14:paraId="7C024BD7" w14:textId="5A6D76AB" w:rsidR="005074AB" w:rsidRPr="009064BC" w:rsidRDefault="005074AB" w:rsidP="005074AB">
      <w:pPr>
        <w:ind w:left="1416"/>
        <w:jc w:val="both"/>
        <w:rPr>
          <w:rFonts w:cstheme="minorHAnsi"/>
        </w:rPr>
      </w:pPr>
      <w:r>
        <w:t>Laadimisjaama paigaldatud pistikupesad või pistikupesad ja nende automaatsed kaitselülitid peavad vastama ühele punktis 5.4 esitatud võimalustest.“</w:t>
      </w:r>
    </w:p>
    <w:p w14:paraId="3C2EF0D1" w14:textId="7C25EDED" w:rsidR="00324D93" w:rsidRPr="009064BC" w:rsidRDefault="00441D3E" w:rsidP="00CA5D2D">
      <w:pPr>
        <w:jc w:val="both"/>
        <w:rPr>
          <w:rFonts w:cstheme="minorHAnsi"/>
        </w:rPr>
      </w:pPr>
      <w:r>
        <w:t>Kolmandaks. Lisandi BT-52 punkti 5.4 esimene lõik muudetakse ja sõnastatakse järgmiselt:</w:t>
      </w:r>
    </w:p>
    <w:p w14:paraId="1D0AA4C9" w14:textId="6013C719" w:rsidR="00527DF1" w:rsidRDefault="00324D93" w:rsidP="00CA5D2D">
      <w:pPr>
        <w:jc w:val="both"/>
        <w:rPr>
          <w:color w:val="FF0000"/>
        </w:rPr>
      </w:pPr>
      <w:r>
        <w:t xml:space="preserve">„5.4 Ühenduspunkt. </w:t>
      </w:r>
      <w:bookmarkStart w:id="1" w:name="_Hlk81468651"/>
      <w:r>
        <w:t xml:space="preserve">Ühenduspunkt peab asuma toiteväljaku kõrval ja olema püsivalt paigaldatud kaitseümbrisesse. </w:t>
      </w:r>
    </w:p>
    <w:bookmarkEnd w:id="1"/>
    <w:p w14:paraId="346E72DC" w14:textId="2F609E5D" w:rsidR="00441D3E" w:rsidRPr="00527DF1" w:rsidRDefault="00527DF1" w:rsidP="00CA5D2D">
      <w:pPr>
        <w:jc w:val="both"/>
        <w:rPr>
          <w:color w:val="FF0000"/>
        </w:rPr>
      </w:pPr>
      <w:r>
        <w:t xml:space="preserve">Pistikupesade ja pistikute minimaalne paigalduskõrgus peab olema 60 cm maapinnast. </w:t>
      </w:r>
      <w:bookmarkStart w:id="2" w:name="_Hlk81468224"/>
      <w:r>
        <w:t>Kui laadimisjaam on ette nähtud avalikuks kasutamiseks, on maksimaalne kõrgus 120 cm. Ligipääsetavates parkimiskohtades peavad pistikupesad ja pistikupesad olema ümbritsevast värvilisest kontrastsusega 80–120 cm ja nurkristmike kaugus vähemalt 35 cm.“</w:t>
      </w:r>
      <w:bookmarkEnd w:id="2"/>
    </w:p>
    <w:p w14:paraId="33BA3231" w14:textId="6E4F1E78" w:rsidR="005074AB" w:rsidRPr="00D47CC2" w:rsidRDefault="005074AB" w:rsidP="00CA5D2D">
      <w:pPr>
        <w:jc w:val="both"/>
        <w:rPr>
          <w:rFonts w:cstheme="minorHAnsi"/>
          <w:bCs/>
          <w:i/>
          <w:iCs/>
        </w:rPr>
      </w:pPr>
      <w:r>
        <w:t xml:space="preserve">Teine lõppsäte. </w:t>
      </w:r>
      <w:r>
        <w:rPr>
          <w:i/>
        </w:rPr>
        <w:t>Euroopa Liidu õiguse ülevõtmine</w:t>
      </w:r>
    </w:p>
    <w:p w14:paraId="09244551" w14:textId="77777777" w:rsidR="005074AB" w:rsidRPr="009064BC" w:rsidRDefault="005074AB" w:rsidP="00CA5D2D">
      <w:pPr>
        <w:jc w:val="both"/>
        <w:rPr>
          <w:rFonts w:cstheme="minorHAnsi"/>
        </w:rPr>
      </w:pPr>
      <w:r>
        <w:t>Käesoleva kuningliku dekreediga võetakse Hispaania õigusesse üle EUROOPA PARLAMENDI JA NÕUKOGU 30. mai 2018. aasta DIREKTIIVI (EL) 2018/844 (millega muudetakse direktiivi 2010/31/EL ehitiste energiatõhususe kohta ja direktiivi 2012/27/EL energiatõhususe kohta) artikli 8 lõiked 2, 3 ja 5.</w:t>
      </w:r>
    </w:p>
    <w:p w14:paraId="106D513A" w14:textId="7AD1ED46" w:rsidR="005074AB" w:rsidRPr="00C760C9" w:rsidRDefault="005074AB" w:rsidP="005074AB">
      <w:pPr>
        <w:jc w:val="both"/>
        <w:rPr>
          <w:rFonts w:cstheme="minorHAnsi"/>
          <w:bCs/>
          <w:i/>
          <w:iCs/>
        </w:rPr>
      </w:pPr>
      <w:r>
        <w:t xml:space="preserve">Kolmas lõppsäte. </w:t>
      </w:r>
      <w:r>
        <w:rPr>
          <w:i/>
        </w:rPr>
        <w:t>Jõustumine</w:t>
      </w:r>
    </w:p>
    <w:p w14:paraId="74B6AB2B" w14:textId="74C92419" w:rsidR="001035FC" w:rsidRDefault="005074AB" w:rsidP="000A2592">
      <w:pPr>
        <w:jc w:val="both"/>
        <w:rPr>
          <w:rFonts w:cstheme="minorHAnsi"/>
          <w:color w:val="FF0000"/>
        </w:rPr>
      </w:pPr>
      <w:r>
        <w:t>See kuninglik dekreet jõustub järgmisel päeval pärast selle avaldamist riigi ametlikus väljaandes.</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Madrid,                          </w:t>
      </w:r>
    </w:p>
    <w:p w14:paraId="28C0A3AF" w14:textId="7E6F82AF" w:rsidR="007F6E00" w:rsidRPr="00243027" w:rsidRDefault="00D47CC2" w:rsidP="00726501">
      <w:pPr>
        <w:jc w:val="center"/>
        <w:rPr>
          <w:rFonts w:cstheme="minorHAnsi"/>
          <w:sz w:val="24"/>
          <w:szCs w:val="24"/>
        </w:rPr>
      </w:pPr>
      <w:r>
        <w:rPr>
          <w:sz w:val="24"/>
        </w:rPr>
        <w:t>TRANSPORDI, LIIKUVUSE JA LINNADE TEGEVUSKAVA MINISTER</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VALITSUSE KOLMAS ASEPEAMINISTER NING ÖKOLOOGILISE ÜLEMINEKU JA DEMOGRAAFILISTE PROBLEEMIDE MINISTER</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81F2" w14:textId="77777777" w:rsidR="00C05CC2" w:rsidRDefault="00C05CC2" w:rsidP="003B5AE7">
      <w:pPr>
        <w:spacing w:after="0" w:line="240" w:lineRule="auto"/>
      </w:pPr>
      <w:r>
        <w:separator/>
      </w:r>
    </w:p>
  </w:endnote>
  <w:endnote w:type="continuationSeparator" w:id="0">
    <w:p w14:paraId="502CBB68" w14:textId="77777777" w:rsidR="00C05CC2" w:rsidRDefault="00C05CC2"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Kuningliku dekreedi eelnõu, millega muudetakse tehnilist ehitusseadustikku, mis kiideti heaks 17. märtsi kuningliku dekreediga 314/2006.</w:t>
    </w:r>
  </w:p>
  <w:p w14:paraId="53C3F409" w14:textId="5B87674E" w:rsidR="00251439" w:rsidRPr="00C864A9" w:rsidRDefault="00251439" w:rsidP="00D214B0">
    <w:pPr>
      <w:pStyle w:val="Footer"/>
      <w:rPr>
        <w:i/>
        <w:sz w:val="15"/>
        <w:szCs w:val="15"/>
      </w:rPr>
    </w:pPr>
    <w:r>
      <w:rPr>
        <w:i/>
        <w:sz w:val="15"/>
      </w:rPr>
      <w:t>Versioon Euroopa avaliku teabe jaoks. Oktoober 2021</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909E" w14:textId="77777777" w:rsidR="00C05CC2" w:rsidRDefault="00C05CC2" w:rsidP="003B5AE7">
      <w:pPr>
        <w:spacing w:after="0" w:line="240" w:lineRule="auto"/>
      </w:pPr>
      <w:r>
        <w:separator/>
      </w:r>
    </w:p>
  </w:footnote>
  <w:footnote w:type="continuationSeparator" w:id="0">
    <w:p w14:paraId="36CBE026" w14:textId="77777777" w:rsidR="00C05CC2" w:rsidRDefault="00C05CC2"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ARENGUMINISTEERIUM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5CC2"/>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41681"/>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6363</Words>
  <Characters>36272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2021-11-03T08:22:00Z</dcterms:modified>
</cp:coreProperties>
</file>