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Projekt dekretu królewskiego z dnia            , w sprawie zmiany kodeksu techniczno-budowlanego, zatwierdzonego dekretem królewskim 314/2006 z dnia 17 marca</w:t>
      </w:r>
    </w:p>
    <w:p w14:paraId="42548872" w14:textId="172DDCC5" w:rsidR="005074AB" w:rsidRPr="003934E5" w:rsidRDefault="005074AB" w:rsidP="005074AB">
      <w:pPr>
        <w:jc w:val="both"/>
        <w:rPr>
          <w:rFonts w:cstheme="minorHAnsi"/>
        </w:rPr>
      </w:pPr>
      <w:r>
        <w:t>Ustawa 38/1999 z dnia 5 listopada w sprawie przepisów budowlanych definiuje kodeks techniczno-budowlany (CTE) jako ramy regulacyjne, które ustanawiają podstawowe wymagania jakościowe dla budynków i ich instalacji oraz umożliwiają zgodność z podstawowymi wymogami ustanowionymi w art. 3. Przewidziany w tej ustawie kodeks techniczno-budowlany został zatwierdzony dekretem królewskim 314/2006 z dnia 17 marca. Podstawowe dokumenty, które składają się na część II CTE, określają i, w stosownych przypadkach, określają ilościowo podstawowe wymagania określone w części I poprzez określenie docelowych poziomów skuteczności działania lub wartości granicznych lub innych parametrów. W szczególności podstawowy dokument DB-HE „Oszczędność energii” określa i określa ilościowo wymogi w zakresie efektywności energetycznej, które muszą spełniać nowo wybudowane budynki, a także interwencje dotyczące istniejących budynków.</w:t>
      </w:r>
    </w:p>
    <w:p w14:paraId="400360D8" w14:textId="77777777" w:rsidR="005074AB" w:rsidRPr="003934E5" w:rsidRDefault="005074AB" w:rsidP="005074AB">
      <w:pPr>
        <w:jc w:val="both"/>
        <w:rPr>
          <w:rFonts w:cstheme="minorHAnsi"/>
        </w:rPr>
      </w:pPr>
      <w:r>
        <w:t>W dniu 30 maja 2018 r. przyjęto dyrektywę Parlamentu Europejskiego i Rady (UE) 2018/844 zmieniającą dyrektywę 2010/31/UE w sprawie charakterystyki energetycznej budynków i dyrektywę 2012/27/UE w sprawie efektywności energetycznej.</w:t>
      </w:r>
    </w:p>
    <w:p w14:paraId="0B5B2276" w14:textId="142A5C6B" w:rsidR="005A6E61" w:rsidRPr="003934E5" w:rsidRDefault="005074AB" w:rsidP="005A6E61">
      <w:pPr>
        <w:jc w:val="both"/>
        <w:rPr>
          <w:rFonts w:cstheme="minorHAnsi"/>
        </w:rPr>
      </w:pPr>
      <w:r>
        <w:t>Dyrektywa ta ustanawia warunki rozwoju minimalnej infrastruktury niezbędnej do inteligentnego ładowania pojazdów elektrycznych na parkingach w budynkach. Zatem zarówno sektor budownictwa, jak i sektor mobilności stanowią strategiczne obszary ogólnej dekarbonizacji gospodarki, z ramami regulacyjnymi, które mają na celu pobudzenie innowacji, zrównoważonego rozwoju i efektywności energetycznej w tych sektorach.</w:t>
      </w:r>
    </w:p>
    <w:p w14:paraId="4245C855" w14:textId="1828DE90" w:rsidR="005A6E61" w:rsidRPr="003934E5" w:rsidRDefault="005A6E61" w:rsidP="005A6E61">
      <w:pPr>
        <w:jc w:val="both"/>
        <w:rPr>
          <w:rFonts w:cstheme="minorHAnsi"/>
        </w:rPr>
      </w:pPr>
      <w:r>
        <w:t>Z kolei rozwój infrastruktury do inteligentnego ładowania pojazdów elektrycznych przyczyni się do poprawy zarządzania energią i elastyczności wykorzystania energii, wykorzystania odnawialnych źródeł energii i poprawy jakości powietrza, a także do poprawy charakterystyki energetycznej budynków poprzez zwiększenie poziomu ich cyfryzacji i włączenie nowych technologii w tym obszarze.</w:t>
      </w:r>
    </w:p>
    <w:p w14:paraId="45A016F5" w14:textId="74A214E6" w:rsidR="005A6E61" w:rsidRPr="003934E5" w:rsidRDefault="005A6E61" w:rsidP="005A6E61">
      <w:pPr>
        <w:jc w:val="both"/>
        <w:rPr>
          <w:rFonts w:cstheme="minorHAnsi"/>
        </w:rPr>
      </w:pPr>
      <w:r>
        <w:t xml:space="preserve">Ze swojej strony Krajowy Zintegrowany Plan na rzecz Energii i Klimatu na lata 2021-2030 (Plan Nacional Integrado de Energía y Clima 2021-2030 - PNIEC) przedłożony Komisji Europejskiej przez Hiszpanię przewiduje promowanie mobilności elektrycznej jako środka służącego zmniejszeniu zużycia energii i emisji spalin z pojazdów poprzez dostosowanie regulacyjne i włączenie prawa Unii Europejskiej umożliwiającego rozbudowę infrastruktury ładowania pojazdów elektrycznych zgodnie z rozwojem elektryfikacji floty pojazdów, a także poprzez inne mechanizmy promocji i wsparcia. </w:t>
      </w:r>
    </w:p>
    <w:p w14:paraId="3BF925DC" w14:textId="3FA9F544" w:rsidR="00A75681" w:rsidRPr="000E4F56" w:rsidRDefault="00C33374" w:rsidP="00A75681">
      <w:pPr>
        <w:jc w:val="both"/>
        <w:rPr>
          <w:rFonts w:cstheme="minorHAnsi"/>
        </w:rPr>
      </w:pPr>
      <w:r>
        <w:t>Aby osiągnąć te cele i dokonać częściowej transpozycji dyrektywy w tym zakresie, w niniejszym dekrecie królewskim wprowadza się do kodeksu techniczno-budowlanego nowy podstawowy wymóg oszczędności energii odnoszący się do minimalnych parametrów zasilania infrastruktury ładowania pojazdów elektrycznych, który jest obecnie opracowywany w nowej sekcji HE 6 „Minimalne urządzenia infrastruktury ładowania pojazdów elektrycznych” podstawowego dokumentu dotyczącego oszczędności energii. W celu zapewnienia warunków dostępności punktów ładowania na publicznych parkingach zmienia się podstawowy dokument DB-SUA „Bezpieczeństwo użytkowania i dostępność”.</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lastRenderedPageBreak/>
        <w:t xml:space="preserve">Z kolei, zgodnie z przepisami ustawy nr 7/2021 z dnia 20 maja o zmianie klimatu i transformacji energetycznej, jednym dodatkowym przepisem dekretu królewskiego 314/2006 z dnia 17 marca, który zatwierdza kodeks techniczno-budowlany, ustanowiono następujące wymogi dotyczące minimalnych przepisów dotyczących infrastruktury ładowania pojazdów elektrycznych w istniejących budynkach do użytku innego niż prywatne użytkowanie mieszkalne, które mają parking z ponad dwudziestoma miejscami parkingowymi, zarówno wewnątrz, jak i na zewnątrz, i które nie są objęte zakresem stosowania sekcji HE 6 dokumentu podstawowego dotyczącego oszczędności energii. Ustawa 7/2021 z dnia 20 maja w sprawie zmiany klimatu i transformacji energetycznej ustanawia obowiązek wprowadzenia tego przepisu w życie przed dniem 1 stycznia 2023 r. w kodeksie techniczno-budowlanym. </w:t>
      </w:r>
    </w:p>
    <w:p w14:paraId="1192FDEB" w14:textId="77777777" w:rsidR="005074AB" w:rsidRPr="009064BC" w:rsidRDefault="005074AB" w:rsidP="005074AB">
      <w:pPr>
        <w:jc w:val="both"/>
        <w:rPr>
          <w:rFonts w:cstheme="minorHAnsi"/>
        </w:rPr>
      </w:pPr>
      <w:r>
        <w:t>Ponadto w celu uzupełnienia regulacji dotyczących infrastruktury ładowania pojazdów elektrycznych zmienia się dodatkowe wytyczne techniczne (Instrucción técnica complementaria, ITC) BT-52 uzupełniające przepisy elektrotechniczne dla urządzeń niskonapięciowych, zatwierdzone dekretem królewskim 1053/2014 z dnia 12 grudnia oraz inne towarzyszące im wytyczne techniczne.</w:t>
      </w:r>
    </w:p>
    <w:p w14:paraId="53205125" w14:textId="62D4F2A6" w:rsidR="005A6E61" w:rsidRPr="009064BC" w:rsidRDefault="005074AB" w:rsidP="005A6E61">
      <w:pPr>
        <w:jc w:val="both"/>
        <w:rPr>
          <w:rFonts w:cstheme="minorHAnsi"/>
        </w:rPr>
      </w:pPr>
      <w:r>
        <w:t xml:space="preserve">Ponadto, jako środek promowania energii ze źródeł odnawialnych, poprawy konkurencyjności sektorów produkcyjnych i większego zaangażowania konsumentów w zarządzanie ich energią, PNIEC przewiduje rozwój konsumpcji własnej z wykorzystaniem energii odnawialnej i generacji rozproszonej w sektorze mieszkaniowym i biznesowym. </w:t>
      </w:r>
    </w:p>
    <w:p w14:paraId="4F23D1D3" w14:textId="56BE7436" w:rsidR="005074AB" w:rsidRPr="009064BC" w:rsidRDefault="005A6E61" w:rsidP="005074AB">
      <w:pPr>
        <w:jc w:val="both"/>
        <w:rPr>
          <w:rFonts w:cstheme="minorHAnsi"/>
        </w:rPr>
      </w:pPr>
      <w:r>
        <w:t xml:space="preserve">W tym względzie zatwierdzenie dekretu królewskiego 244/2019 z dnia 5 kwietnia regulującego administracyjne, techniczne i ekonomiczne warunki konsumpcji energii elektrycznej na potrzeby własne umożliwiło, między innymi, zbiorowe korzystanie z energii elektrycznej i ograniczyło procedury administracyjne dotyczące wdrażania konsumpcji na własne potrzeby. W związku z tym uznaje się, że obecne ramy prawne pozwalają na rozszerzenie zakresu stosowania podstawowego wymogu HE 5 dotyczącego minimalnej produkcji energii elektrycznej na budynki przeznaczone do użytku prywatnego oraz obniżenie progu minimalnej powierzchni budowli, do której wymóg ten ma zastosowanie w budynkach o dowolnym przeznaczeniu. </w:t>
      </w:r>
    </w:p>
    <w:p w14:paraId="2C3560FF" w14:textId="60FA6548" w:rsidR="005074AB" w:rsidRDefault="005074AB" w:rsidP="005074AB">
      <w:pPr>
        <w:jc w:val="both"/>
        <w:rPr>
          <w:rFonts w:cstheme="minorHAnsi"/>
        </w:rPr>
      </w:pPr>
      <w:r>
        <w:t>Ponadto, po wykryciu błędów i pomyłek w druku w dekrecie królewskim nr 732/2019 z dnia 20 grudnia 2019 r. zmieniającym kodeks techniczno-budowlany, zatwierdzonym dekretem królewskim 314/2006 z dnia 17 marca, opublikowanym w „BOE” nr 311 z dnia 27 grudnia 2019 r., wprowadza się odpowiednie poprawki. Z kolei, w celu wyjaśnienia trybu stosowania podstawowego dokumentu DB-HE „Oszczędność energii” po jego aktualizacji na mocy wspomnianego dekretu królewskiego nr 732/2019, za konieczną uznaje się zmianę brzmienia niektórych sekcji dokumentu HE 1 dotyczących warunków kontroli zapotrzebowania na energię oraz załącznika A do terminologii tego dokumentu podstawowego.</w:t>
      </w:r>
    </w:p>
    <w:p w14:paraId="010C68C8" w14:textId="6D1CCB96" w:rsidR="00E26B23" w:rsidRDefault="00E26B23" w:rsidP="00B65F28">
      <w:pPr>
        <w:jc w:val="both"/>
        <w:rPr>
          <w:rFonts w:cstheme="minorHAnsi"/>
          <w:bCs/>
        </w:rPr>
      </w:pPr>
      <w:r>
        <w:t xml:space="preserve">Zmiana kodeksu techniczno-budowlanego dotycząca włączenia nowej sekcji HE 6 „Minimalne przepisy dotyczące infrastruktury ładowania pojazdów elektrycznych” dokumentu podstawowego dotyczącego oszczędności energii oraz nowelizacja dekretu królewskiego nr 1053/2014 z dnia 12 grudnia, w którym zatwierdza się nowe dodatkowe wytyczne techniczne (ITC) BT 52 zawarte w pierwszym przepisie końcowym oraz jedyne dodatkowe postanowienie dekretu królewskiego 314/2006 z dnia 17 marca, który zatwierdza kodeks techniczno-budowlany, stanowią część reform prawnych przewidzianych w planie odbudowy, transformacji i zwiększania odporności (Plan de Recuperación, Transformación y Resiliencia - PRTR). W </w:t>
      </w:r>
      <w:r>
        <w:lastRenderedPageBreak/>
        <w:t xml:space="preserve">szczególności w ramach komponentu 1 PRTR dotyczącego „Planu szokowego w zakresie zrównoważonej, bezpiecznej i połączonej mobilności w środowisku miejskim i metropolitalnym” przyjęto dekret królewski wdrażający wyżej wymienione reformy prawne w ramach reformy C1.R1 zwanej „Planem stopniowego wprowadzania ładowania i rozbudowy infrastruktury pojazdów elektrycznych”.  Reforma C1.R1 została zaprojektowana jako ramy ustawowe, regulacyjne i strategiczne, aby ułatwić rozwój infrastruktury ładowania w celu promowania pojazdów elektrycznych w Hiszpanii i ma dwa etapy kluczowe. Pierwszy z nich został określony przez rozporządzenie TMA/178/2020 z dnia 19 lutego zmieniające zarządzenie z dnia 16 grudnia 1997 r., które reguluje dostęp do dróg państwowych, dróg serwisowych i budowy obiektów usługowych, oraz dekret królewski z mocą ustawy 23/2020 z dnia 23 czerwca, który zatwierdza środki w dziedzinie energetyki i innych obszarów reaktywacji gospodarki. Drugi kluczowy etap reformy C1.R1. obejmuje zatwierdzenie niniejszego dekretu królewskiego zmieniającego kodeks techniczno-budowlany oraz dekret królewski 1053/2014 z dnia 12 grudnia zatwierdzający nowe dodatkowe wytyczne techniczne (ITC) BT 52.  Reforma C1.R1. jest powiązana z inwestycją C1.I2 „Program zachęt do montażu punktów ładowania, zakupu pojazdów elektrycznych i pojazdów zasilanych ogniwami paliwowymi oraz innowacji w zakresie elektromobilności, ładowania i ekologicznego wodoru”. Inwestycja ta obejmuje linie pomocy dla montażu stacji ładowania określone w dekrecie królewskim 266/2021 z dnia 13 kwietnia, zatwierdzającym bezpośrednie przyznanie pomocy wspólnotom autonomicznym oraz miastom Ceuta i Melilla na realizację programów motywacyjnych związanych z mobilnością elektryczną (MOVES III) w ramach PRTR. </w:t>
      </w:r>
    </w:p>
    <w:p w14:paraId="65C24996" w14:textId="1073EF13" w:rsidR="003F7C25" w:rsidRPr="001C78CB" w:rsidRDefault="003F7C25" w:rsidP="005074AB">
      <w:pPr>
        <w:jc w:val="both"/>
        <w:rPr>
          <w:rFonts w:cstheme="minorHAnsi"/>
          <w:bCs/>
          <w:i/>
          <w:iCs/>
        </w:rPr>
      </w:pPr>
      <w:r>
        <w:t xml:space="preserve">Ten dekret królewski respektuje zasadę „nie czyń poważnych szkód” (Do No Significant Harm - DNSH) oraz warunki oznakowania klimatycznego i cyfrowego, zgodnie z postanowieniami PRTR, Rozporządzeniem Parlamentu Europejskiego i Rady (UE) z dnia 12 lutego 2021 roku ustanawiającym Mechanizm na rzecz Odbudowy i Zwiększania Odporności oraz jego przepisami wykonawczymi, w szczególności z komunikatem Komisji dotyczącym wytycznych technicznych w sprawie stosowania zasady „nie czyń poważnych szkód” na mocy rozporządzenia w sprawie Mechanizmu Odbudowy i Zwiększenia Odporności, a także z wymogami decyzji wykonawczej Rady w sprawie zatwierdzenia oceny hiszpańskiego planu odbudowy, transformacji i zwiększenia odporności. Obejmuje to przestrzeganie szczegółowych warunków przewidzianych w komponencie 1, a także w reformie 1, w której ujęty jest ten dekret królewski, zarówno w odniesieniu do zasady DNSH, jak i w odniesieniu do oznakowania klimatycznego i cyfrowego, a w szczególności warunków określonych w sekcjach 3, 6 i 8 dokumentu dotyczącego komponentów PRTR. Inwestycje PRTR C1.I2, związane z reformą C1.R1, są również zgodne z zasadą „nie czyń poważnych szkód” dla środowiska oraz warunkami oznakowania klimatycznego i cyfrowego. </w:t>
      </w:r>
    </w:p>
    <w:p w14:paraId="16D6EC35" w14:textId="6F02251C" w:rsidR="005074AB" w:rsidRPr="009064BC" w:rsidRDefault="005074AB" w:rsidP="005074AB">
      <w:pPr>
        <w:ind w:left="13"/>
        <w:jc w:val="both"/>
        <w:rPr>
          <w:rFonts w:cstheme="minorHAnsi"/>
        </w:rPr>
      </w:pPr>
      <w:r>
        <w:t xml:space="preserve">Dekret królewski jest zgodny z zasadami konieczności, efektywności, proporcjonalności, pewności prawa, przejrzystości i skuteczności określonymi w art. 129 ustawy 39/2015 z dnia 1 października o powszechnym postępowaniu administracyjnym organów administracji publicznej. W odniesieniu do zasad konieczności i skuteczności prawo odpowiada na obowiązek transpozycji dyrektyw europejskich do prawa krajowego i jest zgodny z celami interesu ogólnego, takimi jak dostosowanie infrastruktury budowlanej do promowania zrównoważonej mobilności i wykorzystania energii odnawialnej. Przyczyni się to do dobrobytu społeczeństwa i ochrony środowiska. Dekret królewski jest również zgodny z zasadą proporcjonalności, ponieważ zapewnia niezbędne i wystarczające środki do wykonania mandatu prawnego </w:t>
      </w:r>
      <w:r>
        <w:lastRenderedPageBreak/>
        <w:t>przewidzianego w dyrektywie, ale nie wymaga innowacji, która może być zbędna lub wykracza poza wymogi prawne, ani nie pociąga za sobą ograniczenia praw obywateli. Rozporządzenie to jest zgodne z zasadą pewności prawa, ponieważ zostało opracowane zgodnie z procedurami określonymi w ustawie rządowej nr 50/1997 z dnia 27 listopada 1997 r. oraz z zasadą transparentności, ponieważ jasno określa jego cel, a jego publicznie dostępne uzasadnienie w pełni wyjaśnia jego treść. Ponadto jest on zgodny z zasadą efektywności, ponieważ nie nakłada żadnych obciążeń administracyjnych.</w:t>
      </w:r>
    </w:p>
    <w:p w14:paraId="4E30715D" w14:textId="77777777" w:rsidR="005074AB" w:rsidRPr="009064BC" w:rsidRDefault="005074AB" w:rsidP="005074AB">
      <w:pPr>
        <w:jc w:val="both"/>
        <w:rPr>
          <w:rFonts w:cstheme="minorHAnsi"/>
        </w:rPr>
      </w:pPr>
      <w:r>
        <w:t>Ten przepis ogólny został poddany procedurze informacyjnej w dziedzinie przepisów technicznych i zasad dotyczących usług społeczeństwa informacyjnego, przewidzianej w dyrektywie Parlamentu Europejskiego i Rady (UE) 2015/1535 z dnia 9 września 2015 r. oraz w dekrecie królewskim 1337/1999 z dnia 31 lipca 1999 r.</w:t>
      </w:r>
    </w:p>
    <w:p w14:paraId="533AAB8D" w14:textId="741A459B" w:rsidR="003C546E" w:rsidRDefault="003C546E" w:rsidP="003C546E">
      <w:pPr>
        <w:jc w:val="both"/>
        <w:rPr>
          <w:rFonts w:cstheme="minorHAnsi"/>
        </w:rPr>
      </w:pPr>
      <w:r>
        <w:t>W związku z tym, na wniosek Minister Transportu, Mobilności i Agendy Miejskiej oraz Trzeciej Wiceprzewodniczącej Rządu i Minister ds. Zmian Klimatu i Problemów Demograficznych, w porozumieniu z Radą Stanu i po obradach Rady Ministrów na posiedzeniu dniu</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POSTANAWIA SIĘ, CO NASTĘPUJE:</w:t>
      </w:r>
    </w:p>
    <w:p w14:paraId="29194849" w14:textId="17EA67F9" w:rsidR="005074AB" w:rsidRPr="0033081E" w:rsidRDefault="002A5A94" w:rsidP="005074AB">
      <w:pPr>
        <w:jc w:val="both"/>
        <w:rPr>
          <w:rFonts w:cstheme="minorHAnsi"/>
          <w:bCs/>
          <w:i/>
          <w:iCs/>
        </w:rPr>
      </w:pPr>
      <w:r>
        <w:t xml:space="preserve">Artykuł jednolity. </w:t>
      </w:r>
      <w:r>
        <w:rPr>
          <w:i/>
        </w:rPr>
        <w:t>Zmiana kodeksu techniczno-budowlanego (Código Técnico de la Edificación, CTE) zatwierdzona dekretem królewskim nr 314/2006 z dnia 17 marca 2006 r.</w:t>
      </w:r>
    </w:p>
    <w:p w14:paraId="49F6DB5C" w14:textId="77777777" w:rsidR="005074AB" w:rsidRPr="009064BC" w:rsidRDefault="005074AB" w:rsidP="005074AB">
      <w:pPr>
        <w:jc w:val="both"/>
        <w:rPr>
          <w:rFonts w:cstheme="minorHAnsi"/>
        </w:rPr>
      </w:pPr>
      <w:r>
        <w:t>W dekrecie królewskim 314/2006 z dnia 17 marca 2006 r. zatwierdzającym kodeks techniczno-budowlany (CTE) wprowadza się następujące zmiany:</w:t>
      </w:r>
    </w:p>
    <w:p w14:paraId="1E4A23CD" w14:textId="3CA20F16" w:rsidR="005074AB" w:rsidRPr="009064BC" w:rsidRDefault="005074AB" w:rsidP="005074AB">
      <w:pPr>
        <w:ind w:left="567" w:hanging="567"/>
        <w:jc w:val="both"/>
        <w:rPr>
          <w:rFonts w:cstheme="minorHAnsi"/>
        </w:rPr>
      </w:pPr>
      <w:r>
        <w:t>Jeden. W części I kodeksu techniczno-budowlanego wprowadza się następujące zmiany:</w:t>
      </w:r>
    </w:p>
    <w:p w14:paraId="7B36765A" w14:textId="6C7BF234" w:rsidR="006B44D8" w:rsidRPr="009064BC" w:rsidRDefault="006B44D8" w:rsidP="0033081E">
      <w:pPr>
        <w:ind w:left="142" w:hanging="142"/>
        <w:jc w:val="both"/>
        <w:rPr>
          <w:rFonts w:cstheme="minorHAnsi"/>
        </w:rPr>
      </w:pPr>
      <w:r>
        <w:t>— W spisie treści nazwa „15.6. Wymóg podstawowy HE 5: Minimalna produkcja energii elektrycznej" otrzymuje następujące brzmienie:</w:t>
      </w:r>
    </w:p>
    <w:p w14:paraId="750B02FB" w14:textId="5E773080" w:rsidR="006B44D8" w:rsidRPr="009064BC" w:rsidRDefault="006B44D8" w:rsidP="00F11565">
      <w:pPr>
        <w:ind w:left="426"/>
        <w:jc w:val="both"/>
        <w:rPr>
          <w:rFonts w:cstheme="minorHAnsi"/>
        </w:rPr>
      </w:pPr>
      <w:r>
        <w:t>„15.6. Wymóg podstawowy HE 5: Sekcja HE5 Minimalna produkcja energii elektrycznej ze źródeł odnawialnych.”</w:t>
      </w:r>
    </w:p>
    <w:p w14:paraId="0B75EAC4" w14:textId="77777777" w:rsidR="006B44D8" w:rsidRPr="009064BC" w:rsidRDefault="006B44D8" w:rsidP="006B44D8">
      <w:pPr>
        <w:numPr>
          <w:ilvl w:val="0"/>
          <w:numId w:val="9"/>
        </w:numPr>
        <w:ind w:left="142" w:hanging="142"/>
        <w:jc w:val="both"/>
        <w:rPr>
          <w:rFonts w:cstheme="minorHAnsi"/>
        </w:rPr>
      </w:pPr>
      <w:r>
        <w:t>W odniesieniu do art. 15 w indeksie dodaje się punkt w brzmieniu:</w:t>
      </w:r>
    </w:p>
    <w:p w14:paraId="1C1AB680" w14:textId="1D8C7D23" w:rsidR="006B44D8" w:rsidRPr="009064BC" w:rsidRDefault="007E461E" w:rsidP="00F11565">
      <w:pPr>
        <w:ind w:left="426"/>
        <w:jc w:val="both"/>
        <w:rPr>
          <w:rFonts w:cstheme="minorHAnsi"/>
        </w:rPr>
      </w:pPr>
      <w:r>
        <w:t>„15.7. Wymóg podstawowy HE 6: Minimalne urządzenia infrastruktury ładowania pojazdów elektrycznych.</w:t>
      </w:r>
    </w:p>
    <w:p w14:paraId="03B3513D" w14:textId="1133ED17" w:rsidR="001E31F3" w:rsidRPr="002C30D6" w:rsidRDefault="005074AB" w:rsidP="005074AB">
      <w:pPr>
        <w:numPr>
          <w:ilvl w:val="0"/>
          <w:numId w:val="9"/>
        </w:numPr>
        <w:ind w:left="142" w:hanging="142"/>
        <w:jc w:val="both"/>
        <w:rPr>
          <w:rFonts w:cstheme="minorHAnsi"/>
        </w:rPr>
      </w:pPr>
      <w:r>
        <w:t>W rozdziale 3 art. 15 pkt 15.6 otrzymuje następujące brzmienie:</w:t>
      </w:r>
    </w:p>
    <w:p w14:paraId="1E36A006" w14:textId="3C6E29CB" w:rsidR="001E31F3" w:rsidRPr="009064BC" w:rsidRDefault="00F11565" w:rsidP="00F11565">
      <w:pPr>
        <w:pStyle w:val="ListParagraph"/>
        <w:ind w:left="426"/>
        <w:jc w:val="both"/>
        <w:rPr>
          <w:rFonts w:cstheme="minorHAnsi"/>
        </w:rPr>
      </w:pPr>
      <w:r>
        <w:t>„15.6 Wymóg podstawowy HE 5: Minimalna produkcja energii elektrycznej ze źródeł odnawialnych.</w:t>
      </w:r>
    </w:p>
    <w:p w14:paraId="4799EB9C" w14:textId="22AE3D4A" w:rsidR="001E31F3" w:rsidRPr="009064BC" w:rsidRDefault="001B0467" w:rsidP="00F11565">
      <w:pPr>
        <w:ind w:left="426"/>
        <w:jc w:val="both"/>
        <w:rPr>
          <w:rFonts w:cstheme="minorHAnsi"/>
        </w:rPr>
      </w:pPr>
      <w:r>
        <w:t>Budynki mają posiadać systemy wytwarzania energii elektrycznej ze źródeł odnawialnych na własny użytek lub w celu zaopatrywania sieci.”</w:t>
      </w:r>
    </w:p>
    <w:p w14:paraId="799517C6" w14:textId="6A449415" w:rsidR="005074AB" w:rsidRPr="009064BC" w:rsidRDefault="001E31F3" w:rsidP="005074AB">
      <w:pPr>
        <w:numPr>
          <w:ilvl w:val="0"/>
          <w:numId w:val="9"/>
        </w:numPr>
        <w:ind w:left="142" w:hanging="142"/>
        <w:jc w:val="both"/>
        <w:rPr>
          <w:rFonts w:cstheme="minorHAnsi"/>
        </w:rPr>
      </w:pPr>
      <w:r>
        <w:t>Na końcu art. 15 dodaje się, co następuje:</w:t>
      </w:r>
    </w:p>
    <w:p w14:paraId="67BDEE2E" w14:textId="77777777" w:rsidR="005074AB" w:rsidRPr="009064BC" w:rsidRDefault="005074AB" w:rsidP="00F11565">
      <w:pPr>
        <w:ind w:left="426"/>
        <w:jc w:val="both"/>
        <w:rPr>
          <w:rFonts w:cstheme="minorHAnsi"/>
        </w:rPr>
      </w:pPr>
      <w:r>
        <w:t>„15.7 Wymóg podstawowy HE 6: Minimalne urządzenia infrastruktury ładowania pojazdów elektrycznych.</w:t>
      </w:r>
    </w:p>
    <w:p w14:paraId="7C67403C" w14:textId="535BDE0B" w:rsidR="005074AB" w:rsidRDefault="005074AB" w:rsidP="00F11565">
      <w:pPr>
        <w:ind w:left="426"/>
        <w:jc w:val="both"/>
        <w:rPr>
          <w:rFonts w:cstheme="minorHAnsi"/>
        </w:rPr>
      </w:pPr>
      <w:r>
        <w:lastRenderedPageBreak/>
        <w:t>Budynki muszą posiadać minimalną infrastrukturę umożliwiającą ładowanie pojazdów elektrycznych”.</w:t>
      </w:r>
    </w:p>
    <w:p w14:paraId="6F674517" w14:textId="77777777" w:rsidR="002A5A94" w:rsidRPr="000E4F56" w:rsidRDefault="002A5A94" w:rsidP="002A5A94">
      <w:pPr>
        <w:pStyle w:val="ListParagraph"/>
        <w:numPr>
          <w:ilvl w:val="0"/>
          <w:numId w:val="9"/>
        </w:numPr>
        <w:ind w:left="142" w:hanging="142"/>
        <w:jc w:val="both"/>
        <w:rPr>
          <w:rFonts w:cstheme="minorHAnsi"/>
        </w:rPr>
      </w:pPr>
      <w:r>
        <w:t>Dodaje się przepis dodatkowy w brzmieniu:</w:t>
      </w:r>
    </w:p>
    <w:p w14:paraId="2417D1DC" w14:textId="3DAEE52F" w:rsidR="002A5A94" w:rsidRPr="0033081E" w:rsidRDefault="002A5A94" w:rsidP="002A5A94">
      <w:pPr>
        <w:ind w:left="426"/>
        <w:jc w:val="both"/>
        <w:rPr>
          <w:rFonts w:cstheme="minorHAnsi"/>
          <w:bCs/>
          <w:i/>
          <w:iCs/>
        </w:rPr>
      </w:pPr>
      <w:r>
        <w:t xml:space="preserve">„Jeden dodatkowy przepis. </w:t>
      </w:r>
      <w:r>
        <w:rPr>
          <w:i/>
        </w:rPr>
        <w:t>Minimalne urządzenia infrastruktury ładowania pojazdów elektrycznych w budynkach do zastosowań innych niż prywatne budynki mieszkalne posiadające ponad dwadzieścia miejsc parkingowych.</w:t>
      </w:r>
    </w:p>
    <w:p w14:paraId="71CE31DD" w14:textId="72E1754E" w:rsidR="0067270E" w:rsidRPr="008F4D49" w:rsidRDefault="0067270E" w:rsidP="0067270E">
      <w:pPr>
        <w:ind w:left="426"/>
        <w:jc w:val="both"/>
      </w:pPr>
      <w:r>
        <w:t>Zgodnie z przepisami ustawy nr 7/2021 z dnia 20 maja w sprawie zmiany klimatu i transformacji energetycznej, przed dniem 1 stycznia 2023 r. wszystkie budynki przeznaczone do użytku innego niż prywatne budynki mieszkalne, które mają parking z ponad dwudziestoma miejscami parkingowymi, zarówno wewnątrz, jak i w wyznaczonej przestrzeni zewnętrznej, muszą posiadać następujące minimalne urządzenia infrastruktury do ładowania pojazdów elektrycznych:</w:t>
      </w:r>
    </w:p>
    <w:p w14:paraId="2339A7CE" w14:textId="2F683544" w:rsidR="0067270E" w:rsidRPr="00DC3EE9" w:rsidRDefault="0067270E" w:rsidP="00675D0E">
      <w:pPr>
        <w:ind w:left="426"/>
        <w:jc w:val="both"/>
        <w:rPr>
          <w:rFonts w:cstheme="minorHAnsi"/>
        </w:rPr>
      </w:pPr>
      <w:r>
        <w:t>- ogólnie, na parkingach liczących do 1000 miejsc parkingowych należy zainstalować jedną stację ładowania dla każdych 40 miejsc parkingowych lub odpowiadającej im przestrzeni oraz jedną dodatkową stację ładowania dla każdych dodatkowych 100 miejsc parkingowych lub odpowiadającej im przestrzeni. Alternatywnie należy zwrócić się o licencję lub zezwolenie władz samorządowych na wykonanie robót niezbędnych do realizacji tej infrastruktury ładowania lub, w przypadku gdy właściciel budynku podlega ustawie nr 9/2017 z dnia 8 listopada 2014 r. o zamówieniach publicznych, która dokonuje transpozycji do prawa hiszpańskiego dyrektywy Parlamentu Europejskiego i Rady 2014/23/UE i 2014/24/UE z dnia 26 lutego 2014 r., rozpoczęty zostanie przetarg na przedmiotowe roboty lub projekt lub dokument techniczny niezbędny do określenia tych prac poprzez ogłoszenie na odpowiedniej platformie przetargowej</w:t>
      </w:r>
      <w:bookmarkStart w:id="0" w:name="_Hlk74840570"/>
      <w:r>
        <w:t>. Prace ogłoszone urzędowo na podstawie wniosku o licencję lub zezwolenie władz samorządowych muszą rozpocząć się w maksymalnym okresie obowiązywania zezwolenia zgodnie z określonymi w nim warunkami, a w przypadku ich braku, w ciągu sześciu miesięcy od daty wydania zezwolenia. Prace ogłoszone urzędowo w momencie rozpoczęcia procedury przetargowej dotyczącej prac, przetargu na projekt lub dokument techniczny definiujący te prace muszą rozpocząć się w maksymalnym okresie obowiązywania pozwolenia, zezwolenia władz samorządowych lub równoważnego lub, w przypadku jego braku, w terminie sześciu miesięcy od dnia, w którym przyznano kontrakt na wykonanie prac.</w:t>
      </w:r>
    </w:p>
    <w:bookmarkEnd w:id="0"/>
    <w:p w14:paraId="58AB7358" w14:textId="65977551" w:rsidR="00F90C96" w:rsidRPr="008F4D49" w:rsidRDefault="0067270E" w:rsidP="00EA32C0">
      <w:pPr>
        <w:ind w:left="426"/>
        <w:jc w:val="both"/>
        <w:rPr>
          <w:rFonts w:cstheme="minorHAnsi"/>
        </w:rPr>
      </w:pPr>
      <w:r>
        <w:t xml:space="preserve">— w budynkach będących własnością generalnej administracji państwowej lub powiązanych z nią instytucji publicznych lub należących do niej, na parkingach liczących do 500 miejsc parkingowych należy zainstalować jedną stację ładowania dla każdych 20 miejsc parkingowych lub odpowiadającej im przestrzeni oraz jedną dodatkową stację ładowania dla każdych dodatkowych 100 miejsc parkingowych lub odpowiadającej im przestrzeni, lub alternatywnie procedurę przetargową na roboty budowlane, projekt lub dokument techniczny niezbędny do zdefiniowania robót rozpocznie się poprzez ogłoszenie na odpowiedniej platformie zamówień publicznych. Prace ogłoszone urzędowo w momencie rozpoczęcia procedury przetargowej dotyczącej prac, przetargu na projekt lub dokument techniczny definiujący te prace muszą rozpocząć się w maksymalnym okresie obowiązywania pozwolenia, zezwolenia władz samorządowych lub równoważnego lub, w </w:t>
      </w:r>
      <w:r>
        <w:lastRenderedPageBreak/>
        <w:t>przypadku jego braku, w terminie sześciu miesięcy od dnia, w którym przyznano kontrakt na wykonanie prac.</w:t>
      </w:r>
    </w:p>
    <w:p w14:paraId="354182C6" w14:textId="54A09FDC" w:rsidR="002A5A94" w:rsidRPr="00BA4C0D" w:rsidRDefault="002A5A94" w:rsidP="00210EA2">
      <w:pPr>
        <w:ind w:left="426"/>
        <w:jc w:val="both"/>
      </w:pPr>
      <w:r>
        <w:t>Budynki oficjalnie chronione nie podlegają tym wymogom, ponieważ stanowią część zadeklarowanego środowiska lub ze względu na ich szczególną wartość architektoniczną lub historyczną, o ile spełnienie tego wymogu mogłoby w sposób nieuzasadniony zmienić ich charakter lub wygląd, i to urzędowy organ ochrony określa niezmienne elementy.</w:t>
      </w:r>
    </w:p>
    <w:p w14:paraId="0662362C" w14:textId="0FC45639" w:rsidR="002A5A94" w:rsidRPr="0062182D" w:rsidRDefault="002A5A94" w:rsidP="0062182D">
      <w:pPr>
        <w:pStyle w:val="ListParagraph"/>
        <w:ind w:left="426"/>
        <w:jc w:val="both"/>
        <w:rPr>
          <w:rFonts w:cstheme="minorHAnsi"/>
        </w:rPr>
      </w:pPr>
      <w:r>
        <w:t>Ta infrastruktura ładowania pojazdów elektrycznych będzie zgodna z przepisami dekretu królewskiego 842/2002 z dnia 2 sierpnia, który zatwierdza przepisy elektrotechniczne dla urządzeń niskonapięciowych i towarzyszące im dodatkowe wytyczne techniczne (ITC) BT 52 "Instalacje do celów specjalnych. Infrastruktura ładowania pojazdów elektrycznych", jak również przepisy sekcji 4. „Uzasadnienie wymogu” oraz 5. „Budowa, konserwacja i utrzymanie” sekcja HE 6 „Minimalne urządzenia infrastruktury ładowania pojazdów elektrycznych” dokumentu podstawowego DB-HE „Oszczędność energii”.”</w:t>
      </w:r>
    </w:p>
    <w:p w14:paraId="0769E30E" w14:textId="6A51451B" w:rsidR="0033081E" w:rsidRPr="008F4D49" w:rsidRDefault="005074AB" w:rsidP="00D47CC2">
      <w:pPr>
        <w:jc w:val="both"/>
        <w:rPr>
          <w:rFonts w:cstheme="minorHAnsi"/>
        </w:rPr>
      </w:pPr>
      <w:r>
        <w:t xml:space="preserve">Dwa Zmienia się dokument podstawowy DB-HE „Oszczędność energii” zawarty w części II kodeksu techniczno-budowlanego, obejmujący sekcję HE 6 „Minimalne urządzenia infrastruktury ładowania pojazdów elektrycznych”, która znajduje się w załączniku I do niniejszego dekretu królewskiego. </w:t>
      </w:r>
    </w:p>
    <w:p w14:paraId="5DC46FAC" w14:textId="4A465EFF" w:rsidR="005074AB" w:rsidRPr="008F4D49" w:rsidRDefault="005074AB" w:rsidP="005074AB">
      <w:pPr>
        <w:spacing w:after="162"/>
        <w:ind w:left="13"/>
        <w:jc w:val="both"/>
        <w:rPr>
          <w:rFonts w:cstheme="minorHAnsi"/>
        </w:rPr>
      </w:pPr>
      <w:r>
        <w:t>W dokumencie podstawowym DB-HE wprowadza się również następujące zmiany:</w:t>
      </w:r>
    </w:p>
    <w:p w14:paraId="53FD09BA" w14:textId="1FBEE4B0" w:rsidR="005074AB" w:rsidRPr="009064BC" w:rsidRDefault="005074AB" w:rsidP="006424FF">
      <w:pPr>
        <w:numPr>
          <w:ilvl w:val="0"/>
          <w:numId w:val="13"/>
        </w:numPr>
        <w:spacing w:after="162"/>
        <w:ind w:left="720" w:hanging="295"/>
        <w:jc w:val="both"/>
        <w:rPr>
          <w:rFonts w:cstheme="minorHAnsi"/>
        </w:rPr>
      </w:pPr>
      <w:r>
        <w:t>W pierwszym akapicie sekcji I „Przedmiot” „Wprowadzenia”, w zdaniu „Sekcje niniejszego DB odpowiadają podstawowym wymaganiom HE 0 a do HE 5”, zamiast „HE 5”, powinno pojawić się „HE 6”.</w:t>
      </w:r>
    </w:p>
    <w:p w14:paraId="7957EC48" w14:textId="441BEE49" w:rsidR="006F5E38" w:rsidRPr="009064BC" w:rsidRDefault="006F5E38" w:rsidP="006424FF">
      <w:pPr>
        <w:numPr>
          <w:ilvl w:val="0"/>
          <w:numId w:val="13"/>
        </w:numPr>
        <w:spacing w:after="162"/>
        <w:ind w:left="720" w:hanging="295"/>
        <w:jc w:val="both"/>
        <w:rPr>
          <w:rFonts w:cstheme="minorHAnsi"/>
        </w:rPr>
      </w:pPr>
      <w:r>
        <w:t>W sekcji I „Przedmiot” „Wprowadzenia” odniesienie do art. 15.6 części I CTE otrzymuje brzmienie:</w:t>
      </w:r>
    </w:p>
    <w:p w14:paraId="5F1636DD" w14:textId="77777777" w:rsidR="006F5E38" w:rsidRPr="009064BC" w:rsidRDefault="006F5E38" w:rsidP="009064BC">
      <w:pPr>
        <w:pStyle w:val="ListParagraph"/>
        <w:ind w:left="709"/>
        <w:contextualSpacing w:val="0"/>
        <w:jc w:val="both"/>
        <w:rPr>
          <w:rFonts w:cstheme="minorHAnsi"/>
        </w:rPr>
      </w:pPr>
      <w:r>
        <w:t>„15.6 Wymóg podstawowy HE 5: Minimalna produkcja energii elektrycznej ze źródeł odnawialnych.</w:t>
      </w:r>
    </w:p>
    <w:p w14:paraId="6BB983CA" w14:textId="72439AD8" w:rsidR="006F5E38" w:rsidRPr="009064BC" w:rsidRDefault="006F5E38" w:rsidP="009064BC">
      <w:pPr>
        <w:pStyle w:val="ListParagraph"/>
        <w:spacing w:after="162"/>
        <w:ind w:left="709"/>
        <w:contextualSpacing w:val="0"/>
        <w:jc w:val="both"/>
        <w:rPr>
          <w:rFonts w:cstheme="minorHAnsi"/>
        </w:rPr>
      </w:pPr>
      <w:r>
        <w:t>Budynki muszą posiadać systemy wytwarzania energii elektrycznej ze źródeł odnawialnych na własny użytek lub w celu zaopatrywania sieci.”</w:t>
      </w:r>
    </w:p>
    <w:p w14:paraId="2D6B0228" w14:textId="7AFD12CA" w:rsidR="005074AB" w:rsidRPr="009064BC" w:rsidRDefault="005074AB" w:rsidP="006424FF">
      <w:pPr>
        <w:numPr>
          <w:ilvl w:val="0"/>
          <w:numId w:val="13"/>
        </w:numPr>
        <w:spacing w:after="162"/>
        <w:ind w:left="720" w:hanging="295"/>
        <w:jc w:val="both"/>
        <w:rPr>
          <w:rFonts w:cstheme="minorHAnsi"/>
        </w:rPr>
      </w:pPr>
      <w:r>
        <w:t>W sekcji I „Przedmiot” „Wprowadzenia” dodaje się dodatkowy punkt w odniesieniu do art. 15 części I CTE na końcu CTE, w brzmieniu:</w:t>
      </w:r>
    </w:p>
    <w:p w14:paraId="7D3E8D59" w14:textId="77777777" w:rsidR="005074AB" w:rsidRPr="009064BC" w:rsidRDefault="005074AB" w:rsidP="006424FF">
      <w:pPr>
        <w:ind w:left="709"/>
        <w:jc w:val="both"/>
        <w:rPr>
          <w:rFonts w:cstheme="minorHAnsi"/>
        </w:rPr>
      </w:pPr>
      <w:r>
        <w:t>„15.7. Wymóg podstawowy HE 6: Minimalne urządzenia infrastruktury ładowania pojazdów elektrycznych.</w:t>
      </w:r>
    </w:p>
    <w:p w14:paraId="63C180D9" w14:textId="77777777" w:rsidR="005074AB" w:rsidRPr="009064BC" w:rsidRDefault="005074AB" w:rsidP="006424FF">
      <w:pPr>
        <w:ind w:left="709"/>
        <w:jc w:val="both"/>
        <w:rPr>
          <w:rFonts w:cstheme="minorHAnsi"/>
        </w:rPr>
      </w:pPr>
      <w:r>
        <w:t>Budynki muszą posiadać minimalną infrastrukturę umożliwiającą ładowanie pojazdów elektrycznych”.</w:t>
      </w:r>
    </w:p>
    <w:p w14:paraId="2CCB9F35" w14:textId="1C8D3E4F" w:rsidR="001B0467" w:rsidRPr="009064BC" w:rsidRDefault="001B0467" w:rsidP="006424FF">
      <w:pPr>
        <w:numPr>
          <w:ilvl w:val="0"/>
          <w:numId w:val="13"/>
        </w:numPr>
        <w:ind w:left="720" w:hanging="294"/>
        <w:jc w:val="both"/>
        <w:rPr>
          <w:rFonts w:cstheme="minorHAnsi"/>
        </w:rPr>
      </w:pPr>
      <w:r>
        <w:t>W spisie treści, tytuł sekcji HE 5 otrzymuje brzmienie:</w:t>
      </w:r>
    </w:p>
    <w:p w14:paraId="7DC0F11B" w14:textId="4E9858DC" w:rsidR="001B0467" w:rsidRPr="009064BC" w:rsidRDefault="001B0467" w:rsidP="001B0467">
      <w:pPr>
        <w:pStyle w:val="ListParagraph"/>
        <w:ind w:left="709"/>
        <w:jc w:val="both"/>
        <w:rPr>
          <w:rFonts w:cstheme="minorHAnsi"/>
        </w:rPr>
      </w:pPr>
      <w:r>
        <w:t>„Sekcja HE 5 Minimalna produkcja energii elektrycznej ze źródeł odnawialnych”.</w:t>
      </w:r>
    </w:p>
    <w:p w14:paraId="1178E5DE" w14:textId="4953BECD" w:rsidR="005074AB" w:rsidRPr="009064BC" w:rsidRDefault="005074AB" w:rsidP="006424FF">
      <w:pPr>
        <w:numPr>
          <w:ilvl w:val="0"/>
          <w:numId w:val="13"/>
        </w:numPr>
        <w:ind w:left="720" w:hanging="294"/>
        <w:jc w:val="both"/>
        <w:rPr>
          <w:rFonts w:cstheme="minorHAnsi"/>
        </w:rPr>
      </w:pPr>
      <w:r>
        <w:t>W odniesieniu do art. 15 w indeksie dodaje się punkt w brzmieniu:</w:t>
      </w:r>
    </w:p>
    <w:p w14:paraId="661731BD" w14:textId="1FDCE6A5" w:rsidR="005074AB" w:rsidRPr="009064BC" w:rsidRDefault="00982E58" w:rsidP="00982E58">
      <w:pPr>
        <w:tabs>
          <w:tab w:val="left" w:pos="7938"/>
        </w:tabs>
        <w:ind w:left="1134" w:hanging="425"/>
        <w:contextualSpacing/>
        <w:jc w:val="both"/>
        <w:rPr>
          <w:rFonts w:cstheme="minorHAnsi"/>
        </w:rPr>
      </w:pPr>
      <w:r>
        <w:lastRenderedPageBreak/>
        <w:t>„Sekcja HE 6 Minimalna infrastruktura ładowania pojazdów elektrycznych.............................................33</w:t>
      </w:r>
    </w:p>
    <w:p w14:paraId="22DC136D" w14:textId="123A27FA" w:rsidR="005074AB" w:rsidRPr="009064BC" w:rsidRDefault="005074AB" w:rsidP="00982E58">
      <w:pPr>
        <w:numPr>
          <w:ilvl w:val="0"/>
          <w:numId w:val="10"/>
        </w:numPr>
        <w:tabs>
          <w:tab w:val="left" w:pos="7938"/>
        </w:tabs>
        <w:ind w:left="1134" w:hanging="425"/>
        <w:contextualSpacing/>
        <w:jc w:val="both"/>
        <w:rPr>
          <w:rFonts w:cstheme="minorHAnsi"/>
        </w:rPr>
      </w:pPr>
      <w:r>
        <w:t>Zakres zastosowania.....................................................................</w:t>
      </w:r>
      <w:r w:rsidR="000E58DF">
        <w:t>...................</w:t>
      </w:r>
      <w:r>
        <w:t>33</w:t>
      </w:r>
    </w:p>
    <w:p w14:paraId="6FE2086C" w14:textId="04F220C3" w:rsidR="005074AB" w:rsidRPr="009064BC" w:rsidRDefault="005074AB" w:rsidP="00982E58">
      <w:pPr>
        <w:numPr>
          <w:ilvl w:val="0"/>
          <w:numId w:val="10"/>
        </w:numPr>
        <w:tabs>
          <w:tab w:val="left" w:pos="7938"/>
        </w:tabs>
        <w:ind w:left="1134" w:hanging="425"/>
        <w:contextualSpacing/>
        <w:jc w:val="both"/>
        <w:rPr>
          <w:rFonts w:cstheme="minorHAnsi"/>
        </w:rPr>
      </w:pPr>
      <w:r>
        <w:t>Opis wymogu...........................................................</w:t>
      </w:r>
      <w:r w:rsidR="000E58DF">
        <w:t>.....................</w:t>
      </w:r>
      <w:r>
        <w:t xml:space="preserve">. </w:t>
      </w:r>
      <w:r w:rsidR="000E58DF">
        <w:t>.................</w:t>
      </w:r>
      <w:r>
        <w:t>34</w:t>
      </w:r>
    </w:p>
    <w:p w14:paraId="4D6A108B" w14:textId="149F7DC2" w:rsidR="005074AB" w:rsidRPr="009064BC" w:rsidRDefault="005074AB" w:rsidP="00982E58">
      <w:pPr>
        <w:numPr>
          <w:ilvl w:val="0"/>
          <w:numId w:val="10"/>
        </w:numPr>
        <w:tabs>
          <w:tab w:val="left" w:pos="7938"/>
        </w:tabs>
        <w:ind w:left="1134" w:hanging="425"/>
        <w:contextualSpacing/>
        <w:jc w:val="both"/>
        <w:rPr>
          <w:rFonts w:cstheme="minorHAnsi"/>
        </w:rPr>
      </w:pPr>
      <w:r>
        <w:t>Ilościowe określenie wymogu............................................................</w:t>
      </w:r>
      <w:r w:rsidR="000E58DF">
        <w:t>................</w:t>
      </w:r>
      <w:r>
        <w:t>34</w:t>
      </w:r>
    </w:p>
    <w:p w14:paraId="79098154" w14:textId="0476B367" w:rsidR="005074AB" w:rsidRPr="009064BC" w:rsidRDefault="005074AB" w:rsidP="00982E58">
      <w:pPr>
        <w:numPr>
          <w:ilvl w:val="0"/>
          <w:numId w:val="10"/>
        </w:numPr>
        <w:tabs>
          <w:tab w:val="left" w:pos="7938"/>
        </w:tabs>
        <w:ind w:left="1134" w:hanging="425"/>
        <w:contextualSpacing/>
        <w:jc w:val="both"/>
        <w:rPr>
          <w:rFonts w:cstheme="minorHAnsi"/>
        </w:rPr>
      </w:pPr>
      <w:r>
        <w:t>Uzasadnienie wymogu............................................................</w:t>
      </w:r>
      <w:r w:rsidR="000E58DF">
        <w:t>.......................</w:t>
      </w:r>
      <w:r>
        <w:t>34</w:t>
      </w:r>
    </w:p>
    <w:p w14:paraId="7CB375BD" w14:textId="433557AB" w:rsidR="005074AB" w:rsidRPr="009064BC" w:rsidRDefault="005074AB" w:rsidP="00982E58">
      <w:pPr>
        <w:numPr>
          <w:ilvl w:val="0"/>
          <w:numId w:val="10"/>
        </w:numPr>
        <w:tabs>
          <w:tab w:val="left" w:pos="7938"/>
        </w:tabs>
        <w:ind w:left="1134" w:hanging="425"/>
        <w:contextualSpacing/>
        <w:jc w:val="both"/>
        <w:rPr>
          <w:rFonts w:cstheme="minorHAnsi"/>
        </w:rPr>
      </w:pPr>
      <w:r>
        <w:t>Budowa, konserwacja i utrzymanie......................................................</w:t>
      </w:r>
      <w:r w:rsidR="000E58DF">
        <w:t>........</w:t>
      </w:r>
      <w:r>
        <w:t>35</w:t>
      </w:r>
    </w:p>
    <w:p w14:paraId="0BB8C82D" w14:textId="1A80431E" w:rsidR="005074AB" w:rsidRPr="009064BC" w:rsidRDefault="006424FF" w:rsidP="00982E58">
      <w:pPr>
        <w:tabs>
          <w:tab w:val="left" w:pos="7938"/>
        </w:tabs>
        <w:ind w:left="1843" w:hanging="425"/>
        <w:contextualSpacing/>
        <w:jc w:val="both"/>
        <w:rPr>
          <w:rFonts w:cstheme="minorHAnsi"/>
        </w:rPr>
      </w:pPr>
      <w:r>
        <w:t>5.1</w:t>
      </w:r>
      <w:r>
        <w:tab/>
        <w:t>Wykonywanie…………………………………………………………………………………35</w:t>
      </w:r>
    </w:p>
    <w:p w14:paraId="4AE42B35" w14:textId="0F1D2EFE" w:rsidR="005074AB" w:rsidRPr="009064BC" w:rsidRDefault="005074AB" w:rsidP="00982E58">
      <w:pPr>
        <w:tabs>
          <w:tab w:val="left" w:pos="7938"/>
        </w:tabs>
        <w:ind w:left="1843" w:hanging="425"/>
        <w:contextualSpacing/>
        <w:jc w:val="both"/>
        <w:rPr>
          <w:rFonts w:cstheme="minorHAnsi"/>
        </w:rPr>
      </w:pPr>
      <w:r>
        <w:t>5.2</w:t>
      </w:r>
      <w:r>
        <w:tab/>
        <w:t>Monitorowanie wykonania robót................................................ 35</w:t>
      </w:r>
    </w:p>
    <w:p w14:paraId="2E5A6752" w14:textId="3A3D0216" w:rsidR="005074AB" w:rsidRPr="009064BC" w:rsidRDefault="005074AB" w:rsidP="00982E58">
      <w:pPr>
        <w:tabs>
          <w:tab w:val="left" w:pos="7938"/>
        </w:tabs>
        <w:ind w:left="1843" w:hanging="436"/>
        <w:contextualSpacing/>
        <w:jc w:val="both"/>
        <w:rPr>
          <w:rFonts w:cstheme="minorHAnsi"/>
        </w:rPr>
      </w:pPr>
      <w:r>
        <w:t>5.3</w:t>
      </w:r>
      <w:r>
        <w:tab/>
        <w:t>Sprawdzanie ukończonych prac......................................................35</w:t>
      </w:r>
    </w:p>
    <w:p w14:paraId="5D3A912D" w14:textId="36476147" w:rsidR="005074AB" w:rsidRPr="009064BC" w:rsidRDefault="005074AB" w:rsidP="00982E58">
      <w:pPr>
        <w:tabs>
          <w:tab w:val="left" w:pos="7938"/>
        </w:tabs>
        <w:ind w:left="1843" w:hanging="425"/>
        <w:contextualSpacing/>
        <w:jc w:val="both"/>
        <w:rPr>
          <w:rFonts w:cstheme="minorHAnsi"/>
        </w:rPr>
      </w:pPr>
      <w:r>
        <w:t>5.4</w:t>
      </w:r>
      <w:r>
        <w:tab/>
        <w:t>Konserwacja i utrzymanie budynku.................................................35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W sekcji HE 0 „Dopuszczalne wartości zużycia energii”, w sekcji 4.1 „Procedura obliczania”, w ust. 9 słowa „Uznany dokument” zastępuje się słowami „Uznany dokument certyfikacji energetycznej budynków”.</w:t>
      </w:r>
    </w:p>
    <w:p w14:paraId="3222E360" w14:textId="2F90CB7E" w:rsidR="0067340E" w:rsidRPr="0067340E" w:rsidRDefault="006C16B4" w:rsidP="0026457E">
      <w:pPr>
        <w:numPr>
          <w:ilvl w:val="0"/>
          <w:numId w:val="13"/>
        </w:numPr>
        <w:ind w:left="720" w:hanging="295"/>
        <w:jc w:val="both"/>
        <w:rPr>
          <w:rFonts w:cstheme="minorHAnsi"/>
        </w:rPr>
      </w:pPr>
      <w:r>
        <w:t>W sekcji HE 0 „Dopuszczalne wartości zużycia energii”, w sekcji 4.1 „Procedura obliczania” ust. 9 otrzymuje oznaczenie ust. 11 i dodaje się akapity w brzmieniu:</w:t>
      </w:r>
    </w:p>
    <w:p w14:paraId="3392DEB4" w14:textId="73112890" w:rsidR="0067340E" w:rsidRDefault="0067340E" w:rsidP="0067340E">
      <w:pPr>
        <w:ind w:left="1134" w:hanging="425"/>
        <w:contextualSpacing/>
        <w:jc w:val="both"/>
        <w:rPr>
          <w:rFonts w:cstheme="minorHAnsi"/>
        </w:rPr>
      </w:pPr>
      <w:r>
        <w:t>„9</w:t>
      </w:r>
      <w:r>
        <w:tab/>
        <w:t>Obliczenia bilansu energetycznego wymaganego do weryfikacji wymagań niniejszego BD przeprowadza się zgodnie z normą UNE-EN ISO 52000-1:2019: Ogólna ocena charakterystyki energetycznej budynków. Część 1: ogólne ramy i procedury, z zastosowaniem współczynnika eksportu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Do celów przydzielania różnych usług, dystrybucja energii elektrycznej wytwarzanej na miejscu, w każdym przedziale czasowym, jest obliczana proporcjonalnie do zużycia energii elektrycznej przez dane źródło poboru energii (ogrzewanie, chłodzenie, wentylacja, ciepła woda użytkowa i dodatkowo, w wykorzystaniu usługowym, oświetlenie)”.</w:t>
      </w:r>
    </w:p>
    <w:p w14:paraId="78947690" w14:textId="66930B3C" w:rsidR="005074AB" w:rsidRPr="009064BC" w:rsidRDefault="005074AB" w:rsidP="0026457E">
      <w:pPr>
        <w:numPr>
          <w:ilvl w:val="0"/>
          <w:numId w:val="13"/>
        </w:numPr>
        <w:ind w:left="720" w:hanging="294"/>
        <w:jc w:val="both"/>
        <w:rPr>
          <w:rFonts w:cstheme="minorHAnsi"/>
        </w:rPr>
      </w:pPr>
      <w:r>
        <w:t>W sekcji HE 1 „Warunki kontrolowania zapotrzebowania na energię” w sekcji 3.1.1 „Przepuszczalność przegrody termicznej” dodaje się akapit w brzmieniu:</w:t>
      </w:r>
    </w:p>
    <w:p w14:paraId="729573A3" w14:textId="05413AE2" w:rsidR="005074AB" w:rsidRPr="009064BC" w:rsidRDefault="005074AB" w:rsidP="006424FF">
      <w:pPr>
        <w:ind w:left="1134" w:hanging="425"/>
        <w:jc w:val="both"/>
        <w:rPr>
          <w:rFonts w:cstheme="minorHAnsi"/>
        </w:rPr>
      </w:pPr>
      <w:r>
        <w:t>„6</w:t>
      </w:r>
      <w:r>
        <w:tab/>
        <w:t>Alternatywnie, budynki lub, w przypadku częściowych interwencji w istniejących budynkach, części budynków, w których przeprowadzane są interwencje, których zapotrzebowanie na ogrzewanie i chłodzenie jest w obu przypadkach mniejsze niż 15 kWh/m</w:t>
      </w:r>
      <w:r>
        <w:rPr>
          <w:vertAlign w:val="superscript"/>
        </w:rPr>
        <w:t>2</w:t>
      </w:r>
      <w:r>
        <w:t xml:space="preserve">, mogą być wyłączone z wymogu zgodności ze </w:t>
      </w:r>
      <w:r>
        <w:rPr>
          <w:i/>
        </w:rPr>
        <w:t>współczynnikiem globalnym przenikania ciepła przez przegrodę termiczną (K)</w:t>
      </w:r>
      <w:r>
        <w:t>.”</w:t>
      </w:r>
    </w:p>
    <w:p w14:paraId="49941342" w14:textId="77777777" w:rsidR="00802B87" w:rsidRDefault="005074AB" w:rsidP="00802B87">
      <w:pPr>
        <w:numPr>
          <w:ilvl w:val="0"/>
          <w:numId w:val="13"/>
        </w:numPr>
        <w:ind w:left="709" w:hanging="283"/>
        <w:contextualSpacing/>
        <w:jc w:val="both"/>
        <w:rPr>
          <w:rFonts w:cstheme="minorHAnsi"/>
        </w:rPr>
      </w:pPr>
      <w:r>
        <w:t>W sekcji HE 1 „Warunki kontrolowania zapotrzebowania na energię” w sekcji 3.1.1 „Przepuszczalność powietrza przez przegrodę termiczną” dodaje się akapit w brzmieniu:</w:t>
      </w:r>
    </w:p>
    <w:p w14:paraId="1D58DEB1" w14:textId="0D8F3294" w:rsidR="005074AB" w:rsidRPr="00802B87" w:rsidRDefault="005074AB" w:rsidP="00802B87">
      <w:pPr>
        <w:ind w:left="709"/>
        <w:contextualSpacing/>
        <w:jc w:val="both"/>
        <w:rPr>
          <w:rFonts w:cstheme="minorHAnsi"/>
        </w:rPr>
      </w:pPr>
      <w:r>
        <w:t xml:space="preserve">„W przypadku zmian, tabela 3.1.3.a-HE1 powyżej ma zastosowanie wyłącznie do tych elementów </w:t>
      </w:r>
      <w:r>
        <w:rPr>
          <w:i/>
        </w:rPr>
        <w:t>przegrody termicznej</w:t>
      </w:r>
      <w:r>
        <w:t>, które zostały zastąpione, włączone lub znacząco zmodyfikowane;”</w:t>
      </w:r>
    </w:p>
    <w:p w14:paraId="7563FEDE" w14:textId="74826D79" w:rsidR="005074AB" w:rsidRDefault="005074AB" w:rsidP="00836E07">
      <w:pPr>
        <w:ind w:left="709"/>
        <w:jc w:val="both"/>
        <w:rPr>
          <w:rFonts w:cstheme="minorHAnsi"/>
        </w:rPr>
      </w:pPr>
      <w:r>
        <w:t>Numery obecnych ust. 3 i 4 sekcji 3.1.3 „Przepuszczalność powietrza przez przegrodę termiczną” zastępuje się odpowiednio numerami 4 i 5.</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lastRenderedPageBreak/>
        <w:t>W sekcji HE 3 Warunki dotyczące instalacji oświetleniowych, w tabeli 3.1-HE3 Dopuszczalna wartość sprawności instalacji (VEEI</w:t>
      </w:r>
      <w:r>
        <w:rPr>
          <w:vertAlign w:val="subscript"/>
        </w:rPr>
        <w:t>lim</w:t>
      </w:r>
      <w:r>
        <w:t xml:space="preserve">) słowa „Duże i małe sklepy” zastępuje się słowami „Duże i małe sklepy </w:t>
      </w:r>
      <w:r>
        <w:rPr>
          <w:rFonts w:ascii="Calibri" w:hAnsi="Calibri"/>
          <w:vertAlign w:val="subscript"/>
        </w:rPr>
        <w:t>(10)</w:t>
      </w:r>
      <w:r>
        <w:t>” i dodaje się przypis w brzmieniu:</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Termin sklep odnosi się zarówno do małych niezależnych sklepów, jak i do części przeznaczonej do użytku komercyjnego, która nie jest powszechnie używana w centrach handlowych.”</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W sekcji HE 4 Minimalny wkład energii ze źródeł odnawialnych w zaspokajanie zapotrzebowania na ciepłą wodę użytkową, sekcja 2 „Opis wymogu”, art. 1 otrzymuje brzmienie:</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Budynki muszą w dużym stopniu zaspokajać swoje potrzeby w zakresie ogrzewania ciepłej wody użytkowej i podgrzewania wody w krytych basenach, wykorzystując w dużej mierze energię ze źródeł odnawialnych lub z procesów kogeneracji; wytworzoną w samym budynku lub poprzez podłączenie do miejskiego systemu grzewczego.”</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W sekcji HE 5 Minimalne wytwarzanie energii elektrycznej, tytuł otrzymuje brzmienie:</w:t>
      </w:r>
    </w:p>
    <w:p w14:paraId="1835914C" w14:textId="7892C477" w:rsidR="005074AB" w:rsidRPr="009064BC" w:rsidRDefault="00836E07" w:rsidP="006F5E38">
      <w:pPr>
        <w:pStyle w:val="ListParagraph"/>
        <w:ind w:left="709"/>
        <w:contextualSpacing w:val="0"/>
        <w:jc w:val="both"/>
        <w:rPr>
          <w:rFonts w:cstheme="minorHAnsi"/>
        </w:rPr>
      </w:pPr>
      <w:r>
        <w:t>„Sekcja HE 5 Minimalna produkcja energii elektrycznej ze źródeł odnawialnych”.</w:t>
      </w:r>
    </w:p>
    <w:p w14:paraId="5A13D3D2" w14:textId="6E7AA8ED" w:rsidR="005074AB" w:rsidRPr="009064BC" w:rsidRDefault="005074AB" w:rsidP="00CC005A">
      <w:pPr>
        <w:numPr>
          <w:ilvl w:val="0"/>
          <w:numId w:val="13"/>
        </w:numPr>
        <w:ind w:left="720" w:hanging="294"/>
        <w:jc w:val="both"/>
        <w:rPr>
          <w:rFonts w:cstheme="minorHAnsi"/>
        </w:rPr>
      </w:pPr>
      <w:r>
        <w:t xml:space="preserve">W sekcji HE 5 Minimalna produkcja energii elektrycznej, sekcja 1 „Zakres” ma następujące brzmienie: </w:t>
      </w:r>
    </w:p>
    <w:p w14:paraId="45B1F681" w14:textId="77777777" w:rsidR="005074AB" w:rsidRPr="009064BC" w:rsidRDefault="005074AB" w:rsidP="00CC005A">
      <w:pPr>
        <w:ind w:left="1134" w:hanging="425"/>
        <w:jc w:val="both"/>
        <w:rPr>
          <w:rFonts w:cstheme="minorHAnsi"/>
        </w:rPr>
      </w:pPr>
      <w:r>
        <w:t>„1</w:t>
      </w:r>
      <w:r>
        <w:tab/>
        <w:t xml:space="preserve">Niniejsza sekcja ma zastosowanie w następujących przypadkach: </w:t>
      </w:r>
    </w:p>
    <w:p w14:paraId="10C39280" w14:textId="4335D1B7" w:rsidR="002F2BD0" w:rsidRPr="003934E5" w:rsidRDefault="005074AB" w:rsidP="002F2BD0">
      <w:pPr>
        <w:numPr>
          <w:ilvl w:val="0"/>
          <w:numId w:val="8"/>
        </w:numPr>
        <w:ind w:left="1418" w:hanging="284"/>
        <w:contextualSpacing/>
        <w:jc w:val="both"/>
        <w:rPr>
          <w:rFonts w:cstheme="minorHAnsi"/>
        </w:rPr>
      </w:pPr>
      <w:r>
        <w:t>nowo wybudowane budynki, o powierzchni zabudowy powyżej 1 000 m</w:t>
      </w:r>
      <w:r>
        <w:rPr>
          <w:vertAlign w:val="superscript"/>
        </w:rPr>
        <w:t>2</w:t>
      </w:r>
      <w:r>
        <w:t>;</w:t>
      </w:r>
    </w:p>
    <w:p w14:paraId="288E1AFC" w14:textId="6CE90E6C" w:rsidR="002F2BD0" w:rsidRPr="003934E5" w:rsidRDefault="002F2BD0" w:rsidP="002F2BD0">
      <w:pPr>
        <w:numPr>
          <w:ilvl w:val="0"/>
          <w:numId w:val="8"/>
        </w:numPr>
        <w:ind w:left="1418" w:hanging="284"/>
        <w:contextualSpacing/>
        <w:jc w:val="both"/>
        <w:rPr>
          <w:rFonts w:cstheme="minorHAnsi"/>
        </w:rPr>
      </w:pPr>
      <w:r>
        <w:t>rozbudowa istniejących budynków, gdy powierzchnia zabudowy zostanie zwiększona o ponad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istniejące budynki, które są całkowicie odnowione lub w przypadku zmiany ich właściwości użytkowej, gdy przekraczają one 1 000 m</w:t>
      </w:r>
      <w:r>
        <w:rPr>
          <w:vertAlign w:val="superscript"/>
        </w:rPr>
        <w:t>2</w:t>
      </w:r>
      <w:r>
        <w:t xml:space="preserve"> powierzchni zabudowy.</w:t>
      </w:r>
    </w:p>
    <w:p w14:paraId="2BDE8293" w14:textId="74B0ACD8" w:rsidR="001B0467" w:rsidRPr="003934E5" w:rsidRDefault="00D76296" w:rsidP="001B0467">
      <w:pPr>
        <w:ind w:left="1134"/>
        <w:jc w:val="both"/>
        <w:rPr>
          <w:rFonts w:cstheme="minorHAnsi"/>
        </w:rPr>
      </w:pPr>
      <w:r>
        <w:t xml:space="preserve">Za powierzchnię zabudowaną uważa się powierzchnię parkingów wewnątrz budynku z wyłączeniem obszarów wspólnych na zewnątrz.”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W sekcji HE 5 „Minimalna produkcja energii elektrycznej”, sekcja 2 akapit pierwszy, „Charakterystyka wymogu” ma następujące brzmienie:</w:t>
      </w:r>
    </w:p>
    <w:p w14:paraId="477CF5F6" w14:textId="719B0DCE" w:rsidR="001B0467" w:rsidRPr="003934E5" w:rsidRDefault="003934E5" w:rsidP="003934E5">
      <w:pPr>
        <w:pStyle w:val="ListParagraph"/>
        <w:ind w:left="1134" w:hanging="425"/>
        <w:contextualSpacing w:val="0"/>
        <w:jc w:val="both"/>
        <w:rPr>
          <w:rFonts w:cstheme="minorHAnsi"/>
        </w:rPr>
      </w:pPr>
      <w:r>
        <w:t>„1</w:t>
      </w:r>
      <w:r>
        <w:tab/>
        <w:t>Budynki muszą posiadać systemy wytwarzania energii elektrycznej ze źródeł odnawialnych na własny użytek lub w celu zaopatrywania sieci.”</w:t>
      </w:r>
    </w:p>
    <w:p w14:paraId="6586AED4" w14:textId="66518836" w:rsidR="005074AB" w:rsidRPr="003934E5" w:rsidRDefault="005074AB" w:rsidP="00262992">
      <w:pPr>
        <w:pStyle w:val="ListParagraph"/>
        <w:numPr>
          <w:ilvl w:val="0"/>
          <w:numId w:val="13"/>
        </w:numPr>
        <w:ind w:left="709" w:hanging="283"/>
        <w:jc w:val="both"/>
        <w:rPr>
          <w:rFonts w:cstheme="minorHAnsi"/>
        </w:rPr>
      </w:pPr>
      <w:r>
        <w:t>W sekcji HE 5 „Minimalna produkcja energii elektrycznej”, sekcja 3 „Określenie ilościowe wymogu” ma następujące brzmienie:</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Minimalna </w:t>
      </w:r>
      <w:r>
        <w:rPr>
          <w:i/>
        </w:rPr>
        <w:t xml:space="preserve"> moc do zainstalowania</w:t>
      </w:r>
      <w:r>
        <w:t xml:space="preserve"> P</w:t>
      </w:r>
      <w:r>
        <w:rPr>
          <w:vertAlign w:val="subscript"/>
        </w:rPr>
        <w:t>min</w:t>
      </w:r>
      <w:r>
        <w:t xml:space="preserve"> jest najniższą wartością wyniku z następujących dwóch równań: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xml:space="preserve"> ·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 (0,5 · S</w:t>
      </w:r>
      <w:r>
        <w:rPr>
          <w:vertAlign w:val="subscript"/>
        </w:rPr>
        <w:t>c</w:t>
      </w:r>
      <w:r>
        <w:t xml:space="preserve"> - S</w:t>
      </w:r>
      <w:r>
        <w:rPr>
          <w:vertAlign w:val="subscript"/>
        </w:rPr>
        <w:t>oc</w:t>
      </w:r>
      <w:r>
        <w:t xml:space="preserve"> )</w:t>
      </w:r>
    </w:p>
    <w:p w14:paraId="33F1DF55" w14:textId="77777777" w:rsidR="005074AB" w:rsidRPr="00C249FB" w:rsidRDefault="005074AB" w:rsidP="005074AB">
      <w:pPr>
        <w:spacing w:before="60"/>
        <w:ind w:left="1134"/>
        <w:jc w:val="both"/>
        <w:rPr>
          <w:rFonts w:eastAsia="Arial" w:cstheme="minorHAnsi"/>
          <w:kern w:val="2"/>
          <w:szCs w:val="24"/>
        </w:rPr>
      </w:pPr>
      <w:r>
        <w:t>gdzie:</w:t>
      </w:r>
    </w:p>
    <w:p w14:paraId="61117D05" w14:textId="670BE156" w:rsidR="005074AB" w:rsidRDefault="005074AB" w:rsidP="005074AB">
      <w:pPr>
        <w:spacing w:before="60"/>
        <w:ind w:left="2126" w:hanging="567"/>
        <w:contextualSpacing/>
        <w:jc w:val="both"/>
        <w:rPr>
          <w:rFonts w:eastAsia="Arial" w:cstheme="minorHAnsi"/>
          <w:kern w:val="2"/>
          <w:szCs w:val="24"/>
        </w:rPr>
      </w:pPr>
      <w:r>
        <w:lastRenderedPageBreak/>
        <w:t>P</w:t>
      </w:r>
      <w:r>
        <w:rPr>
          <w:vertAlign w:val="subscript"/>
        </w:rPr>
        <w:t>min</w:t>
      </w:r>
      <w:r>
        <w:tab/>
      </w:r>
      <w:r>
        <w:rPr>
          <w:i/>
        </w:rPr>
        <w:t xml:space="preserve">moc do zainstalowania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 xml:space="preserve"> współczynnik wytwarzania energii, który przyjmuje wartość 0,005 dla prywatnego użytku mieszkalnego i 0,010 dla innych zastosowań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 powierzchnia zabudowy budynku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 xml:space="preserve"> powierzchnia dachu nieprzeznaczona do użytkowania przez pieszych lub dostępna wyłącznie do celów konserwacyjnych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 xml:space="preserve"> powierzchnia dachu nieprzeznaczona do użytkowania przez pieszych lub dostępna wyłącznie do celów konserwacyjnych, zajmowana przez kolektory słoneczne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W budynkach, w których ze względów urbanistycznych lub architektonicznych lub ze względu na to, że są to budynki objęte ochroną urzędową, w których to organ udzielający ochrony urzędowej określa elementy niezmienne, nie można osiągnąć minimalnej </w:t>
      </w:r>
      <w:r>
        <w:rPr>
          <w:i/>
        </w:rPr>
        <w:t xml:space="preserve"> mocy do zainstalowania</w:t>
      </w:r>
      <w:r>
        <w:t>, niemożność tę należy uzasadnić analizą różnych alternatyw i należy przyjąć rozwiązanie, które osiąga maksymalną możliwą moc zainstalowaną.”</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W sekcji HE 5 „Minimalne wytwarzanie energii elektrycznej”, w sekcji 4 „Uzasadnienie wymogu” dodaje się, co następuje:</w:t>
      </w:r>
    </w:p>
    <w:p w14:paraId="1F522FCD" w14:textId="0464CEFA" w:rsidR="005074AB" w:rsidRPr="003934E5" w:rsidRDefault="00CC005A" w:rsidP="00982E58">
      <w:pPr>
        <w:ind w:left="1134" w:hanging="425"/>
        <w:jc w:val="both"/>
        <w:rPr>
          <w:rFonts w:cstheme="minorHAnsi"/>
        </w:rPr>
      </w:pPr>
      <w:r>
        <w:t>c)</w:t>
      </w:r>
      <w:r>
        <w:tab/>
        <w:t xml:space="preserve">w stosownych przypadkach, przyczyny uniemożliwiające osiągnięcie minimalnej wymaganej </w:t>
      </w:r>
      <w:r>
        <w:rPr>
          <w:i/>
        </w:rPr>
        <w:t>mocy do zainstalowania</w:t>
      </w:r>
      <w:r>
        <w:t>, analiza alternatyw i rozwiązania przyjętego w celu osiągnięcia maksymalnej możliwej mocy zainstalowanej.”</w:t>
      </w:r>
    </w:p>
    <w:p w14:paraId="2F009607" w14:textId="478B8572" w:rsidR="005074AB" w:rsidRPr="003934E5" w:rsidRDefault="005074AB" w:rsidP="009064BC">
      <w:pPr>
        <w:pStyle w:val="ListParagraph"/>
        <w:numPr>
          <w:ilvl w:val="0"/>
          <w:numId w:val="13"/>
        </w:numPr>
        <w:ind w:left="709" w:hanging="283"/>
        <w:jc w:val="both"/>
        <w:rPr>
          <w:rFonts w:cstheme="minorHAnsi"/>
        </w:rPr>
      </w:pPr>
      <w:r>
        <w:t>W załączniku A „Terminologia” wprowadza się następujące zmiany:</w:t>
      </w:r>
    </w:p>
    <w:p w14:paraId="44885A1E" w14:textId="0F9B0783" w:rsidR="005074AB" w:rsidRPr="009064BC" w:rsidRDefault="005074AB" w:rsidP="005074AB">
      <w:pPr>
        <w:ind w:left="709" w:hanging="142"/>
        <w:jc w:val="both"/>
        <w:rPr>
          <w:rFonts w:cstheme="minorHAnsi"/>
        </w:rPr>
      </w:pPr>
      <w:r>
        <w:t>— W definicji terminu „Kontrola słoneczna (q</w:t>
      </w:r>
      <w:r>
        <w:rPr>
          <w:vertAlign w:val="subscript"/>
        </w:rPr>
        <w:t>sol;jul</w:t>
      </w:r>
      <w:r>
        <w:t>)”, kropkę na końcu definicji składnika wzoru „H</w:t>
      </w:r>
      <w:r>
        <w:rPr>
          <w:vertAlign w:val="subscript"/>
        </w:rPr>
        <w:t>sol;jul</w:t>
      </w:r>
      <w:r>
        <w:t>” zastępuje się średnikiem, a definicję innego składnika wzoru dodaje się w następujący sposób:</w:t>
      </w:r>
    </w:p>
    <w:p w14:paraId="3DF606FE" w14:textId="65F10CC5" w:rsidR="005074AB" w:rsidRPr="009064BC" w:rsidRDefault="005074AB" w:rsidP="00A5780E">
      <w:pPr>
        <w:ind w:left="709"/>
        <w:jc w:val="both"/>
        <w:rPr>
          <w:rFonts w:cstheme="minorHAnsi"/>
        </w:rPr>
      </w:pPr>
      <w:r>
        <w:t>„A</w:t>
      </w:r>
      <w:r>
        <w:rPr>
          <w:vertAlign w:val="subscript"/>
        </w:rPr>
        <w:t>util</w:t>
      </w:r>
      <w:r>
        <w:t>obszar uznany za zgodny z sekcją 4.6 HE 0.”</w:t>
      </w:r>
    </w:p>
    <w:p w14:paraId="22770CCD" w14:textId="56BB680A" w:rsidR="005074AB" w:rsidRPr="009064BC" w:rsidRDefault="005074AB" w:rsidP="005074AB">
      <w:pPr>
        <w:ind w:left="709" w:hanging="142"/>
        <w:jc w:val="both"/>
        <w:rPr>
          <w:rFonts w:cstheme="minorHAnsi"/>
        </w:rPr>
      </w:pPr>
      <w:r>
        <w:t>— W definicji pojęcia „Energia końcowa" sformułowanie „jest to energia kupowana przez konsumentów w postaci energii elektrycznej, paliw lub innych paliw wykorzystywanych bezpośrednio” zastępuje się sformułowaniem „jest to ta, która jest dostarczana do systemów budynku w celu świadczenia usług. Dostawa odbywa się zwykle za pośrednictwem paliw, wytwarzania na miejscu lub specjalnych sieci (elektrycznych, gazowniczych, ciepłowniczych lub chłodniczych)”.</w:t>
      </w:r>
    </w:p>
    <w:p w14:paraId="4C32D5BC" w14:textId="77777777" w:rsidR="005074AB" w:rsidRPr="009064BC" w:rsidRDefault="005074AB" w:rsidP="005074AB">
      <w:pPr>
        <w:ind w:left="709" w:hanging="142"/>
        <w:jc w:val="both"/>
        <w:rPr>
          <w:rFonts w:cstheme="minorHAnsi"/>
        </w:rPr>
      </w:pPr>
      <w:r>
        <w:t>— W definicji terminu „przepuszczalność cieplna (U)” na końcu definicji dodaje się zdanie w brzmieniu:</w:t>
      </w:r>
    </w:p>
    <w:p w14:paraId="553E6F27" w14:textId="77777777" w:rsidR="005074AB" w:rsidRPr="009064BC" w:rsidRDefault="005074AB" w:rsidP="00A5780E">
      <w:pPr>
        <w:ind w:left="709"/>
        <w:jc w:val="both"/>
        <w:rPr>
          <w:rFonts w:cstheme="minorHAnsi"/>
        </w:rPr>
      </w:pPr>
      <w:r>
        <w:t>„Wyrażone w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W załączniku A „Terminologia” dodaje się następujące terminy:</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Sprzęt pomocniczy</w:t>
      </w:r>
      <w:r>
        <w:t>: sprzęt elektryczny lub elektroniczny związany ze światłem, inny dla każdego typu</w:t>
      </w:r>
      <w:r>
        <w:rPr>
          <w:i/>
        </w:rPr>
        <w:t xml:space="preserve"> światła</w:t>
      </w:r>
      <w:r>
        <w:t>, którego funkcją jest zapłon i sterowanie warunkami pracy. Ten sprzęt pomocniczy, chyba że jest elektroniczny, jest tworzony przez połączenie rozrusznika, statecznika i skraplacza.</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lastRenderedPageBreak/>
        <w:t>„</w:t>
      </w:r>
      <w:r>
        <w:rPr>
          <w:b/>
          <w:i/>
        </w:rPr>
        <w:t>Stacja ładująca</w:t>
      </w:r>
      <w:r>
        <w:t xml:space="preserve">: zestaw elementów niezbędnych do podłączenia </w:t>
      </w:r>
      <w:r>
        <w:rPr>
          <w:i/>
        </w:rPr>
        <w:t>pojazdu elektrycznego</w:t>
      </w:r>
      <w:r>
        <w:t xml:space="preserve"> do stałej instalacji elektrycznej wymaganej do ładowania. </w:t>
      </w:r>
      <w:r>
        <w:rPr>
          <w:i/>
        </w:rPr>
        <w:t>Stacje ładowania</w:t>
      </w:r>
      <w:r>
        <w:t xml:space="preserve"> są klasyfikowane jako:</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Pojedynczy punkt ładowania, składający się z niezbędnych zabezpieczeń, co najmniej jednego gniazdka niespecyficznego dla </w:t>
      </w:r>
      <w:r>
        <w:rPr>
          <w:i/>
        </w:rPr>
        <w:t>pojazdu elektrycznego</w:t>
      </w:r>
      <w:r>
        <w:t xml:space="preserve"> oraz, w stosownych przypadkach, obudowy.</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 xml:space="preserve">Punkt ładowania typu SAVE </w:t>
      </w:r>
      <w:r>
        <w:rPr>
          <w:i/>
        </w:rPr>
        <w:t>(Specific Electric Vehicle Power Supply System - Specyficzny system zasilania pojazdy elektrycznego)</w:t>
      </w:r>
      <w:r>
        <w:t>”</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Infrastruktura ładowania pojazdów elektrycznych:</w:t>
      </w:r>
      <w:r>
        <w:t xml:space="preserve"> zestaw urządzeń fizycznych i logicznych przeznaczonych do ładowania </w:t>
      </w:r>
      <w:r>
        <w:rPr>
          <w:i/>
        </w:rPr>
        <w:t xml:space="preserve"> pojazdów elektrycznych</w:t>
      </w:r>
      <w:r>
        <w:t xml:space="preserve"> spełniających wymogi bezpieczeństwa i dostępności przewidziane dla każdego przypadku w przepisach elektrotechnicznych dla urządzeń niskonapięciowych, zdolnych do zapewnienia pełnej i kompleksowej usługi ładowania. Obejmuje ona </w:t>
      </w:r>
      <w:r>
        <w:rPr>
          <w:i/>
        </w:rPr>
        <w:t>stacje ładowania</w:t>
      </w:r>
      <w:r>
        <w:t>, układ sterowania, przewody elektryczne, elektryczne panele sterowania i zabezpieczające oraz urządzenia pomiarowe, które są przeznaczone wyłącznie do ładowania pojazdów elektrycznych.”</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Specific Electric Vehicle Power System (SAVE)</w:t>
      </w:r>
      <w:r>
        <w:t xml:space="preserve">: zestaw urządzeń zmontowanych w celu dostarczania energii elektrycznej do ładowania </w:t>
      </w:r>
      <w:r>
        <w:rPr>
          <w:i/>
        </w:rPr>
        <w:t>pojazdu elektrycznego</w:t>
      </w:r>
      <w:r>
        <w:t xml:space="preserve">, w tym zabezpieczenia stacji ładowania, kabel przyłączeniowy (z przewodami fazowymi, przewodem neutralnym i przewodem ochronnym) podstawa gniazda lub złącze oraz, w stosownych przypadkach, przetwornica AC/DC. System ten, w stosownych przypadkach, umożliwia komunikację między </w:t>
      </w:r>
      <w:r>
        <w:rPr>
          <w:i/>
        </w:rPr>
        <w:t>pojazdem elektrycznym</w:t>
      </w:r>
      <w:r>
        <w:t xml:space="preserve"> a instalacją stacjonarną.”</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Prywatne użytkowanie mieszkalne</w:t>
      </w:r>
      <w:r>
        <w:t>: Budynek lub teren przeznaczony na stałe miejsce zamieszkania, bez względu na rodzaj budynku: dom jednorodzinny, apartamentowiec itp., zarówno pod zabudowę publiczną, jak i prywatną”.</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Pojazd elektryczny</w:t>
      </w:r>
      <w:r>
        <w:t>: pojazd silnikowy wyposażony w zespół napędowy z co najmniej jednym nieperyferyjnym mechanizmem elektrycznym działającym jako konwerter energii i wyposażony w system magazynowania energii elektrycznej wielokrotnego ładowania, który może być ładowany z zewnątrz.”</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W załączniku D ust. 4 tekst „Uznany dokument” zastępuje się tekstem „Uznany dokument do celów certyfikacji energetycznej budynków”;</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W załączniku H Określenie przepuszczalności powietrznej budynku, po tytule sekcji, sformułowanie "Określenie przepuszczalności powietrznej budynku musi zostać przeprowadzone za pomocą jednej z następujących metod." oraz w części 1 Określenie metodą badania, sformułowanie "Wartość współczynnika wymiany powietrza przy 50 Pa, n50, można uzyskać poprzez badanie zgodnie z metodą B UNE-EN 13829:2002 Oznaczanie szczelności powietrznej w budynkach. Metoda zwiększania ciśnienia za pomocą wentylatora." otrzymuje brzmienie: „Wartość współczynnika wymiany powietrza przy 50 Pa, n50 w drodze badania uzyskuje się z metodą 1 lub 2 według normy UNE-EN ISO 9972: 2019 Sprawność cieplna budynków. Określenie przepuszczalności powietrznej budynków. Metoda zwiększania ciśnienia za pomocą wentylatora.”.</w:t>
      </w:r>
    </w:p>
    <w:p w14:paraId="153946FB" w14:textId="274D0F0F" w:rsidR="001E0B70" w:rsidRPr="003934E5" w:rsidRDefault="001E0B70" w:rsidP="005074AB">
      <w:pPr>
        <w:ind w:left="13"/>
        <w:jc w:val="both"/>
        <w:rPr>
          <w:rFonts w:cstheme="minorHAnsi"/>
        </w:rPr>
      </w:pPr>
      <w:r>
        <w:t>Trzy.</w:t>
      </w:r>
      <w:r>
        <w:rPr>
          <w:b/>
        </w:rPr>
        <w:t xml:space="preserve"> </w:t>
      </w:r>
      <w:r>
        <w:t xml:space="preserve">W dokumencie podstawowym DB-SUA „Bezpieczeństwo użytkowania i dostępność” wprowadza się następujące zmiany zawarte w części II kodeksu techniczno-budowlanego: </w:t>
      </w:r>
    </w:p>
    <w:p w14:paraId="05134A28" w14:textId="08B7B404" w:rsidR="00A5780E" w:rsidRDefault="001E0B70" w:rsidP="00D722CA">
      <w:pPr>
        <w:ind w:left="13"/>
        <w:jc w:val="both"/>
        <w:rPr>
          <w:rFonts w:cstheme="minorHAnsi"/>
        </w:rPr>
      </w:pPr>
      <w:r>
        <w:lastRenderedPageBreak/>
        <w:t>W sekcji 9 „Dostępność”, w załączniku A „Terminologia”, definicja „Dostępnego miejsca parkingowego” zawiera teraz myślnik z tekstem:</w:t>
      </w:r>
    </w:p>
    <w:p w14:paraId="791B9B63" w14:textId="2AEB4586" w:rsidR="00D722CA" w:rsidRPr="009064BC" w:rsidRDefault="0078611E" w:rsidP="0078611E">
      <w:pPr>
        <w:ind w:left="709"/>
        <w:jc w:val="both"/>
        <w:rPr>
          <w:rFonts w:cstheme="minorHAnsi"/>
        </w:rPr>
      </w:pPr>
      <w:r>
        <w:t>„- W przypadku gdy dostępne miejsce parkingowe posiada stację ładowania pojazdów elektrycznych, dostępna trasa obejmuje również tę stację ładowania. Gniazda zasilania i złącza tych stacji ładowania muszą być chromatycznie skontrastowane z otoczeniem, umieszczone na wysokości od 80 do 120 cm, a odległość od narożników musi wynosić co najmniej 35 cm.”</w:t>
      </w:r>
    </w:p>
    <w:p w14:paraId="09F57FB9" w14:textId="78225EA3" w:rsidR="005074AB" w:rsidRPr="009064BC" w:rsidRDefault="00DF5914" w:rsidP="005074AB">
      <w:pPr>
        <w:ind w:left="13"/>
        <w:jc w:val="both"/>
        <w:rPr>
          <w:rFonts w:cstheme="minorHAnsi"/>
        </w:rPr>
      </w:pPr>
      <w:r>
        <w:t>Cztery. W dokumencie podstawowym DB-HS „Zdrowie”, zawartym w części II kodeksu techniczno-budowlanego wprowadza się następującą zmianę:</w:t>
      </w:r>
    </w:p>
    <w:p w14:paraId="6B818CBA" w14:textId="77777777" w:rsidR="002E7342" w:rsidRDefault="005074AB" w:rsidP="002E7342">
      <w:pPr>
        <w:pStyle w:val="ListParagraph"/>
        <w:numPr>
          <w:ilvl w:val="0"/>
          <w:numId w:val="22"/>
        </w:numPr>
        <w:jc w:val="both"/>
        <w:rPr>
          <w:rFonts w:cstheme="minorHAnsi"/>
        </w:rPr>
      </w:pPr>
      <w:r>
        <w:t>W sekcji HS 4 „Zaopatrzenie w wodę”, w sekcji 3.2.2.1 pkt 2, zdanie „minimalny udział energii słonecznej w produkcji ciepłej wody użytkowej” zastępuje się zdaniem „minimalny wkład energii ze źródeł odnawialnych w pokrycie zapotrzebowania na ciepłą wodę użytkową”.</w:t>
      </w:r>
    </w:p>
    <w:p w14:paraId="49ACE665" w14:textId="4B95E48B" w:rsidR="005074AB" w:rsidRPr="003934E5" w:rsidRDefault="002F25C7" w:rsidP="009064BC">
      <w:pPr>
        <w:jc w:val="both"/>
        <w:rPr>
          <w:rFonts w:eastAsia="Arial" w:cstheme="minorHAnsi"/>
          <w:kern w:val="2"/>
        </w:rPr>
      </w:pPr>
      <w:r>
        <w:t>Pięć. Wprowadza się następujące korekty błędów i pomyłek odnotowanych w dokumencie podstawowym DB-HE „Oszczędność energii” zawartym w części II kodeksu techniczno-budowlanego:</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W sekcji HE 0, sekcja 1 Zakres stosowania, ust. 1 w brzmieniu: „...gdzie całkowita rozbudowana powierzchnia użytkowa przekracza 50 m</w:t>
      </w:r>
      <w:r>
        <w:rPr>
          <w:vertAlign w:val="superscript"/>
        </w:rPr>
        <w:t>2</w:t>
      </w:r>
      <w:r>
        <w:t>;”, powinno ono brzmieć „...gdzie rozbudowana powierzchnia użytkowa przekracza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W sekcji HE 0, sekcja 3 Określenie ilościowe wymogu, sekcja 3.1 Zużycie energii pierwotnej ze źródeł nieodnawialnych, ust. 2, w brzmieniu: „... C</w:t>
      </w:r>
      <w:r>
        <w:rPr>
          <w:vertAlign w:val="subscript"/>
        </w:rPr>
        <w:t>ep’nren,lim</w:t>
      </w:r>
      <w:r>
        <w:t>...„, powinien brzmieć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W sekcji HE 0, sekcja 3 Określenie ilościowe wymogu, sekcja 3.2 Całkowite zużycie energii pierwotnej, ust. 1, w brzmieniu: “... C</w:t>
      </w:r>
      <w:r>
        <w:rPr>
          <w:vertAlign w:val="subscript"/>
        </w:rPr>
        <w:t>ep’tot</w:t>
      </w:r>
      <w:r>
        <w:t>...", powinien brzmieć: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W sekcji HE 0, sekcja 3 Określenie ilościowe wymogu, sekcja 3.2 Całkowite zużycie energii pierwotnej, ust. 2, w brzmieniu: „... C</w:t>
      </w:r>
      <w:r>
        <w:rPr>
          <w:vertAlign w:val="subscript"/>
        </w:rPr>
        <w:t>ep,tot</w:t>
      </w:r>
      <w:r>
        <w:t>...", powinien brzmieć: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W sekcji HE 0, tabele 3.1.a-HE0 i 3.2.a-HE0 zawierają wyrażenie „</w:t>
      </w:r>
      <w:r>
        <w:rPr>
          <w:i/>
        </w:rPr>
        <w:t>prywatne użytkowanie mieszkalne</w:t>
      </w:r>
      <w:r>
        <w:t xml:space="preserve">” pisane kursywą. W sekcjach 3.1 Zużycie energii pierwotnej ze źródeł nieodnawialnych, sekcje 2 i 3.2 Całkowite zużycie energii pierwotnej, sekcja 2, wyrażenie „ </w:t>
      </w:r>
      <w:r>
        <w:rPr>
          <w:i/>
        </w:rPr>
        <w:t>prywatne użytkowanie mieszkalne</w:t>
      </w:r>
      <w:r>
        <w:t>” powinno być pisane kursywą.</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W sekcji HE 0, sekcja 4.3 Wewnętrzne zapotrzebowanie i warunki eksploatacji, sekcja 2, termin „</w:t>
      </w:r>
      <w:r>
        <w:rPr>
          <w:i/>
        </w:rPr>
        <w:t>prywatne użytkowanie mieszkalne</w:t>
      </w:r>
      <w:r>
        <w:t>” powinien być pisany kursywą.</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W sekcji HE 0, sekcja 4.5 Systemy referencyjne w prywatnym użytkowaniu mieszkalnym, termin „</w:t>
      </w:r>
      <w:r>
        <w:rPr>
          <w:i/>
        </w:rPr>
        <w:t>prywatne użytkowanie mieszkalne</w:t>
      </w:r>
      <w:r>
        <w:t>” powinien być pisany kursywą zarówno w tytule, jak i w ust. 1.</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W sekcji HE 1, sekcja 3 Określenie ilościowe wymogu, sekcja 3.11. Przepuszczalność przegrody termicznej, określenie „zwartość” w tabelach 3.1.1.b-HE1 i w tabelach 3.1.1.c-HE1 powinno być pisane kursywą.</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lastRenderedPageBreak/>
        <w:t>W sekcji HE 1, sekcja 3 Określenie ilościowe wymogu, sekcja 3.11. Przepuszczalność przegrody termicznej, termin „zwartość” w przypisach tabeli 3.1.1.b-HE1 i tabelach 3.1.1.c-HE1 oraz termin „zwartość” w przypisach tabeli 3.1.1.c-HE1 powinien być pisany kursywą.</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 xml:space="preserve">W sekcji HE 1, sekcja 3 Określenie ilościowe wymogu, sekcja 3.1.1. Przepuszczalność przegrody termicznej, sekcja 3, termin </w:t>
      </w:r>
      <w:r>
        <w:rPr>
          <w:i/>
        </w:rPr>
        <w:t>„prywatne użytkowanie mieszkalne</w:t>
      </w:r>
      <w:r>
        <w:t>” powinien być pisany kursywą zarówno w ust. 3, jak i w tabeli 3.1.1.b-HE1.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W sekcji HE 1, sekcja 3 Określenie ilościowe wymogu, sekcja 3.1.1. Przepuszczalność przegrody termicznej, termin „przegroda termiczna” w tabeli 3.1.1.c-HE1 powinien być pisany kursywą.</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W sekcji HE 1, sekcja 3 Określenie ilościowe wymogu, część 3.1.2 Kontrola słoneczna przegrody termicznej, gdzie napisano: „Tabela 3.1.2-HE1 Wartość graniczna parametru kontroli słonecznej qsol;jul,lim [KWh/m</w:t>
      </w:r>
      <w:r>
        <w:rPr>
          <w:vertAlign w:val="superscript"/>
        </w:rPr>
        <w:t>2</w:t>
      </w:r>
      <w:r>
        <w:t>·mes]” powinno być napisane „sun;jul,lim” jako indeks dolny: „Tabela 3.1.2-HE1 Wartość graniczna parametru kontroli słonecznej q</w:t>
      </w:r>
      <w:r>
        <w:rPr>
          <w:vertAlign w:val="subscript"/>
        </w:rPr>
        <w:t>sol; 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W sekcji HE 1, sekcja 3 Określenie ilościowe wymogu, sekcja 3.1.3 Przepuszczalność powietrza przegrody termicznej, termin „przegroda termiczna” powinien być pisany kursywą.</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W sekcji HE 1, sekcja 3 Określenie ilościowe wymogu, sekcja 3.1.3 Przepuszczalność powietrza przegrody termicznej, termin „zwartość” w tabeli 3.1.3.b-HE1, termin „zwartość” w tabeli w tabeli 3.1.3.b-HE1 oraz termin „prywatne użytkowanie mieszkalne” w ust. 3 powinny być pisany kursywą.</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W sekcji HE 1, sekcja 4 Uzasadnienie wymogu, termin „zwartość” w części 4.1.b) oraz termin „prywatne użytkowanie mieszkalne” w części 4.1.g) powinny być pisany kursywą.</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W sekcji HE 4, sekcja 3 Określenie ilościowe wymogu, sekcja 3.1 Minimalny wkład energii ze źródeł odnawialnych w pokrycie zapotrzebowania na ciepłą wodę użytkową i/lub podgrzewanie wody basenowej, ust. 4, który brzmi: „...ponad 2,5 przy zasilaniu elektrycznym i większy niż 1,15 przy zasilaniu energią cieplną...” powinien brzmieć „... równy lub większy niż 2,5 przy zasilaniu elektrycznym i równy lub większy niż 1,15 przy zasilaniu energią cieplną...”.</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W sekcji HE 4, sekcja 3 Określenie ilościowe wymogu, sekcja 3.1 Minimalny wkład energii ze źródeł odnawialnych w pokrycie zapotrzebowania na ciepłą wodę użytkową i/lub podgrzewanie wody basenowej, ust. 5, który brzmi: „... budynki mieszkalne...” powinien brzmieć „... budynki do prywatnego użytku mieszkalnego...”</w:t>
      </w:r>
    </w:p>
    <w:p w14:paraId="198A06EA" w14:textId="307304FC" w:rsidR="005074AB" w:rsidRPr="009064BC" w:rsidRDefault="003E1EAB" w:rsidP="00547307">
      <w:pPr>
        <w:numPr>
          <w:ilvl w:val="0"/>
          <w:numId w:val="15"/>
        </w:numPr>
        <w:ind w:left="714" w:hanging="357"/>
        <w:jc w:val="both"/>
        <w:rPr>
          <w:rFonts w:cstheme="minorHAnsi"/>
        </w:rPr>
      </w:pPr>
      <w:r>
        <w:t xml:space="preserve">W sekcji HE 4, przed sekcją „5.1. „Wykonanie” dodaje się, co następuje: „5. Budowa, konserwacja i utrzymanie" jako tytuł.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Na stronie 140553, załącznik A Terminologia, w definicji „Całkowity współczynnik przenikania ciepła (przez przegrodę cieplną budynku) (K)”, który brzmi: „... K = X Hx/Aint..." powinien zawierać "x", "x" i "int" jako indeks dolny: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lastRenderedPageBreak/>
        <w:t>W załączniku A Terminologia, w definicji „Zwartości” w akapicie drugim słowo „zwartość” powinno być pisane kursywą.</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W załączniku A Terminologia, w definicji „warunków eksploatacji”, termin „prywatne użytkowanie mieszkalne” powinien być pisany kursywą.</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W załączniku A Terminologia, w definicji „Zużycia energii pierwotnej ze źródeł nieodnawialnych”, która brzmi: „... Zużycie energii pierwotnej ze źródeł nieodnawialnych..." powinna zawierać "ep,nren" w indeksie dolnym: „... Zużycie energii pierwotnej ze źródeł nieodnawialnych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W załączniku A Terminologia, w definicji „Całkowitego zużycia energii pierwotnej”, która brzmi: „... Całkowite zużycie energii pierwotnej..." powinna zawierać "ep,tot" w indeksie dolnym: „... Całkowite zużycie energii pierwotnej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W załączniku A Terminologia, w definicji „kontroli słonecznej (q</w:t>
      </w:r>
      <w:r>
        <w:rPr>
          <w:vertAlign w:val="subscript"/>
        </w:rPr>
        <w:t>sol;ju</w:t>
      </w:r>
      <w:r>
        <w:t>)”, która brzmi: „... użyteczna powierzchnia przestrzeni...” powinna brzmieć: „... przydatna powierzchnia pomieszczeń mieszkalnych...”.</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W załączniku A Terminologia, w definicji „Klimatyzowanej przestrzeni życiowej” termin „prywatne użytkowanie mieszkalne” powinien być pisany kursywą.</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W załączniku A Terminologia, w definicji „okresu użytkowania” termin „prywatne użytkowanie mieszkalne” w akapicie drugim powinien być pisany kursywą.</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W załączniku A Terminologia, w definicji „Wartości sprawności energetycznej instalacji (VEEI)” termin „prywatne użytkowanie mieszkalne” powinien być pisany kursywą.</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W załączniku C Rozważania dotyczące definicji przegrody termicznej, termin „przegroda termiczna” w tytule powinien być pisany kursywą.</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W załączniku D Warunki eksploatacji i profile użytkowania, w tytule, terminy „Warunki eksploatacji” i „Profile użytkowania” muszą być pisane kursywą w tytule, ust. 2 oraz w tabeli a-załącznik D, tabeli b-załącznik D i tabeli c-załącznik D.</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W załączniku E Orientacyjne wartości przepuszczalności, termin „prywatne użytkowanie mieszkalne” w sekcji 1 musi być pisany kursywą.</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W załączniku F Zapotrzebowanie referencyjne na ciepłą wodę użytkową, termin „prywatne użytkowanie mieszkalne” powinien być pisany kursywą zarówno w sekcji 1, jak i w tabeli a-załącznik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W załączniku H Określenie przepuszczalności powietrznej budynku, w sekcji 2, Określenie przy użyciu wartości odniesienia, które brzmi: „... 2. Wartość współczynnika wymiany powietrza przy 50 Pa, n50 można obliczyć na podstawie następującego równania:" powinna brzmieć: „... 1. Wartość współczynnika wymiany powietrza przy 50 Pa, n50 przy użyciu wartości odniesienia otrzymuje się za pomocą następującego wyrażenia:' które brzmi: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 powinno brzmieć: „n</w:t>
      </w:r>
      <w:r>
        <w:rPr>
          <w:vertAlign w:val="subscript"/>
        </w:rPr>
        <w:t>50</w:t>
      </w:r>
      <w:r>
        <w:t xml:space="preserve"> = 0,629· (C</w:t>
      </w:r>
      <w:r>
        <w:rPr>
          <w:vertAlign w:val="subscript"/>
        </w:rPr>
        <w:t xml:space="preserve"> o</w:t>
      </w:r>
      <w:r>
        <w:t>· A</w:t>
      </w:r>
      <w:r>
        <w:rPr>
          <w:vertAlign w:val="subscript"/>
        </w:rPr>
        <w:t xml:space="preserve"> o</w:t>
      </w:r>
      <w:r>
        <w:t xml:space="preserve"> + C</w:t>
      </w:r>
      <w:r>
        <w:rPr>
          <w:vertAlign w:val="subscript"/>
        </w:rPr>
        <w:t>h</w:t>
      </w:r>
      <w:r>
        <w:t>· A</w:t>
      </w:r>
      <w:r>
        <w:rPr>
          <w:vertAlign w:val="subscript"/>
        </w:rPr>
        <w:t>h</w:t>
      </w:r>
      <w:r>
        <w:t>) / V</w:t>
      </w:r>
      <w:r>
        <w:rPr>
          <w:vertAlign w:val="subscript"/>
        </w:rPr>
        <w:t>in</w:t>
      </w:r>
      <w:r>
        <w:t>”, które brzmi: „V oznacza wewnętrzną objętość przegrody termicznej, w [m</w:t>
      </w:r>
      <w:r>
        <w:rPr>
          <w:vertAlign w:val="superscript"/>
        </w:rPr>
        <w:t>3</w:t>
      </w:r>
      <w:r>
        <w:t>]” powinno brzmieć: „V</w:t>
      </w:r>
      <w:r>
        <w:rPr>
          <w:vertAlign w:val="subscript"/>
        </w:rPr>
        <w:t>int</w:t>
      </w:r>
      <w:r>
        <w:t xml:space="preserve"> oznacza wewnętrzną objętość powietrza </w:t>
      </w:r>
      <w:r>
        <w:rPr>
          <w:i/>
        </w:rPr>
        <w:t>przegrody termicznej</w:t>
      </w:r>
      <w:r>
        <w:t>, w [m</w:t>
      </w:r>
      <w:r>
        <w:rPr>
          <w:vertAlign w:val="superscript"/>
        </w:rPr>
        <w:t>3</w:t>
      </w:r>
      <w:r>
        <w:t>]” i które brzmi: „A</w:t>
      </w:r>
      <w:r>
        <w:rPr>
          <w:vertAlign w:val="subscript"/>
        </w:rPr>
        <w:t>o</w:t>
      </w:r>
      <w:r>
        <w:t xml:space="preserve"> jest powierzchnią nieprzezroczystej części przegrody termicznej, w [m</w:t>
      </w:r>
      <w:r>
        <w:rPr>
          <w:vertAlign w:val="superscript"/>
        </w:rPr>
        <w:t>2</w:t>
      </w:r>
      <w:r>
        <w:t>]”, powinno brzmieć: „A</w:t>
      </w:r>
      <w:r>
        <w:rPr>
          <w:vertAlign w:val="subscript"/>
        </w:rPr>
        <w:t>o</w:t>
      </w:r>
      <w:r>
        <w:t xml:space="preserve"> jest powierzchnią </w:t>
      </w:r>
      <w:r>
        <w:lastRenderedPageBreak/>
        <w:t xml:space="preserve">nieprzezroczystej części </w:t>
      </w:r>
      <w:r>
        <w:rPr>
          <w:i/>
        </w:rPr>
        <w:t>przegrody termicznej</w:t>
      </w:r>
      <w:r>
        <w:t xml:space="preserve"> w kontakcie z powietrzem zewnętrznym, w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W załączniku H Określenie przepuszczalności powietrznej budynku, termin  „przegroda termiczna” powinien być pisany kursywą w opisie terminów V</w:t>
      </w:r>
      <w:r>
        <w:rPr>
          <w:vertAlign w:val="subscript"/>
        </w:rPr>
        <w:t>int</w:t>
      </w:r>
      <w:r>
        <w:t>, C</w:t>
      </w:r>
      <w:r>
        <w:rPr>
          <w:vertAlign w:val="subscript"/>
        </w:rPr>
        <w:t>o</w:t>
      </w:r>
      <w:r>
        <w:t>, C, A</w:t>
      </w:r>
      <w:r>
        <w:rPr>
          <w:vertAlign w:val="subscript"/>
        </w:rPr>
        <w:t>h</w:t>
      </w:r>
      <w:r>
        <w:t xml:space="preserve"> oraz w tabeli a-załącznik H</w:t>
      </w:r>
    </w:p>
    <w:p w14:paraId="7A548AE7" w14:textId="77777777" w:rsidR="0024794E" w:rsidRDefault="002F25C7" w:rsidP="0024794E">
      <w:pPr>
        <w:spacing w:before="200" w:after="100" w:line="240" w:lineRule="auto"/>
        <w:jc w:val="both"/>
        <w:rPr>
          <w:rFonts w:eastAsia="Arial" w:cstheme="minorHAnsi"/>
          <w:kern w:val="2"/>
          <w:szCs w:val="24"/>
        </w:rPr>
      </w:pPr>
      <w:r>
        <w:t xml:space="preserve">Sześć. Korekty zauważonych błędów i pomyłek dokonuje się w następujący sposób: Dokument podstawowy DB-HS „Zdrowie”, zawarty w części II kodeksu techniczno-budowlanego: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W sekcji 4 HS „Zaopatrzenie w wodę", w sekcji 6.2., litera "e) Rury z chlorowanego polichlorku winylu (PVC-C) zgodne z normami UNE-EN ISO 15874-1:2013, UNE-EN ISO 15874-2:2013 i UNE-EN ISO 15874-3:2013;" zastępuje się literą "e) rury z chlorowanego polichlorku winylu (PVC-C), zgodne z normami UNE-EN ISO 15877-1:2009 (+UNE-EN ISO 15877-1:2009): 2011), UNE-EN ISO 15877-2:2009 (+UNE-EN ISO 15877-2:2009/A1: 2011) oraz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W sekcji HS 4 „Zaopatrzenie w wodę”, w sekcji 6.2., litera „h) rury z polibutylenu (PB) zgodne z normą UNE-EN ISO 15876-1:2017, UNE-EN ISO 15876-2:2017 i UNE-EN ISO 15876-3:2017;” zastępuje się literą „h) rury z polibutylenu (PB) zgodne z normą UNE-EN ISO 15876-1:2017, UNE-EN ISO 15876-2:2017 i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W załączniku C. Normy referencyjne, w brzmieniu: „Systemy przewodów rurowych z tworzyw sztucznych do instalacji wody ciepłej i zimnej. Polibutylen (PB). Część 1: Postanowienia ogólne", powinno brzmieć: „Systemy przewodów rurowych z tworzyw sztucznych do instalacji wody ciepłej i zimnej. Polibuten (PB). Część 1: Postanowienia ogólne</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W załączniku C. Normy referencyjne, w brzmieniu: „Systemy przewodów rurowych z tworzyw sztucznych do instalacji wody ciepłej i zimnej. Polibutylen (PB). Część 2: Rury", powinno brzmieć: „Systemy przewodów rurowych z tworzyw sztucznych do instalacji wody ciepłej i zimnej. Polibuten (PB). Część 2: Rury</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W załączniku C. Normy referencyjne, w brzmieniu: „Systemy przewodów rurowych z tworzyw sztucznych do instalacji wody ciepłej i zimnej. Polibutylen (PB). Część 3: Kształtki", powinno brzmieć: „Systemy przewodów rurowych z tworzyw sztucznych do instalacji wody ciepłej i zimnej. Polibuten (PB). Część 3: Kształtki.</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W załączniku C. Normy referencyjne, po odesłaniu do normy "UNE-EN ISO 15876-3 należy włączyć następujące elementy: 2017</w:t>
      </w:r>
      <w:r>
        <w:tab/>
        <w:t>Systemy przewodów rurowych z tworzyw sztucznych do instalacji wody ciepłej i zimnej. Polibuten (PB). Część 3: Kształtki", następujące normy:</w:t>
      </w:r>
    </w:p>
    <w:p w14:paraId="5A496CEC" w14:textId="6500843E" w:rsidR="00AD074F" w:rsidRDefault="00AD074F" w:rsidP="0024794E">
      <w:pPr>
        <w:pStyle w:val="ListParagraph"/>
        <w:spacing w:after="120"/>
        <w:ind w:left="709"/>
        <w:jc w:val="both"/>
      </w:pPr>
      <w:r>
        <w:t xml:space="preserve">„UNE-EN ISO 15877-1:2009 Systemy przewodów rurowych z tworzyw sztucznych do instalacji wody ciepłej i zimnej. Chlorowany poli(chlorek winylu) (PVC-C). Część 1: Wymagania ogólne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Systemy przewodów rurowych z tworzyw sztucznych do instalacji wody ciepłej i zimnej. Chlorowany poli(chlorek winylu) (PVC-C). Część 2: Rury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Systemy przewodów rurowych z tworzyw sztucznych do instalacji wody ciepłej i zimnej. Chlorowany poli(chlorek winylu) (PVC-C). Część 3: Kształtki. (+UNE-EN ISO 15877-3:2009/A1:2011)</w:t>
      </w:r>
    </w:p>
    <w:p w14:paraId="30F2E766" w14:textId="038A7758" w:rsidR="005074AB" w:rsidRPr="00431D05" w:rsidRDefault="005074AB" w:rsidP="005074AB">
      <w:pPr>
        <w:jc w:val="both"/>
        <w:rPr>
          <w:rFonts w:cstheme="minorHAnsi"/>
          <w:bCs/>
          <w:i/>
          <w:iCs/>
        </w:rPr>
      </w:pPr>
      <w:r>
        <w:t xml:space="preserve">Pierwszy przepis przejściowy. </w:t>
      </w:r>
      <w:r>
        <w:rPr>
          <w:i/>
        </w:rPr>
        <w:t>Budynki zwolnione z przepisów niniejszego dekretu królewskiego.</w:t>
      </w:r>
    </w:p>
    <w:p w14:paraId="71A41130" w14:textId="7184244B" w:rsidR="005074AB" w:rsidRPr="009064BC" w:rsidRDefault="005074AB" w:rsidP="005074AB">
      <w:pPr>
        <w:jc w:val="both"/>
        <w:rPr>
          <w:rFonts w:cstheme="minorHAnsi"/>
        </w:rPr>
      </w:pPr>
      <w:r>
        <w:lastRenderedPageBreak/>
        <w:t xml:space="preserve">Zmiany kodeksu techniczno-budowlanego (CTE) przyjęte niniejszym dekretem królewskim nie mają zastosowania do prac przy nowych budynkach lub prac prowadzonych w istniejących budynkach, które w obu przypadkach wymagały zezwolenia władz samorządowych na prowadzenie robót w momencie wejścia w życie niniejszego dekretu królewskiego. </w:t>
      </w:r>
    </w:p>
    <w:p w14:paraId="6E353956" w14:textId="262DE845" w:rsidR="007B11B1" w:rsidRDefault="005074AB" w:rsidP="005074AB">
      <w:pPr>
        <w:jc w:val="both"/>
        <w:rPr>
          <w:rFonts w:cstheme="minorHAnsi"/>
        </w:rPr>
      </w:pPr>
      <w:r>
        <w:t>Prace te rozpoczynają się w maksymalnym okresie obowiązywania zezwolenia zgodnie z określonymi w nim warunkami, a w przypadku ich braku, w ciągu sześciu miesięcy od daty wydania zezwolenia. W przeciwnym razie projekty muszą zostać dostosowane do zmian w CTE zatwierdzonych niniejszym dekretem królewskim.</w:t>
      </w:r>
    </w:p>
    <w:p w14:paraId="78DABA03" w14:textId="77777777" w:rsidR="005074AB" w:rsidRPr="00D47CC2" w:rsidRDefault="005074AB" w:rsidP="005074AB">
      <w:pPr>
        <w:jc w:val="both"/>
        <w:rPr>
          <w:rFonts w:cstheme="minorHAnsi"/>
          <w:bCs/>
          <w:i/>
          <w:iCs/>
        </w:rPr>
      </w:pPr>
      <w:r>
        <w:t xml:space="preserve">Drugi przepis przejściowy. </w:t>
      </w:r>
      <w:r>
        <w:rPr>
          <w:i/>
        </w:rPr>
        <w:t>Budynki, w odniesieniu do których zastosowanie przepisów niniejszego dekretu królewskiego jest dobrowolne.</w:t>
      </w:r>
    </w:p>
    <w:p w14:paraId="047CBC16" w14:textId="1E288EF7" w:rsidR="00CA5D2D" w:rsidRPr="00B24946" w:rsidRDefault="005074AB" w:rsidP="005074AB">
      <w:pPr>
        <w:jc w:val="both"/>
        <w:rPr>
          <w:rFonts w:cstheme="minorHAnsi"/>
        </w:rPr>
      </w:pPr>
      <w:r>
        <w:t xml:space="preserve">Zmiany w kodeksie techniczno-budowlanym zatwierdzone niniejszym dekretem królewskim mają zastosowanie dobrowolnie do nowych robót budowlanych oraz do robót w istniejących budynkach, dla których w obu przypadkach wymagane jest zezwolenie władz samorządowych na roboty budowlane w terminie sześciu miesięcy od wejścia w życie niniejszego dekretu królewskiego. </w:t>
      </w:r>
    </w:p>
    <w:p w14:paraId="0F321A96" w14:textId="5FE37BEE" w:rsidR="00CA5D2D" w:rsidRDefault="00CA5D2D" w:rsidP="00CA5D2D">
      <w:pPr>
        <w:jc w:val="both"/>
        <w:rPr>
          <w:rFonts w:cstheme="minorHAnsi"/>
        </w:rPr>
      </w:pPr>
      <w:r>
        <w:t>Prace te rozpoczynają się w maksymalnym okresie obowiązywania zezwolenia zgodnie z określonymi w nim warunkami, a w przypadku ich braku, w ciągu sześciu miesięcy od daty wydania zezwolenia. W przeciwnym razie projekty muszą zostać dostosowane do zmian w CTE zatwierdzonych niniejszym dekretem królewskim.</w:t>
      </w:r>
    </w:p>
    <w:p w14:paraId="1B48DE1E" w14:textId="77777777" w:rsidR="005074AB" w:rsidRPr="00D47CC2" w:rsidRDefault="005074AB" w:rsidP="005074AB">
      <w:pPr>
        <w:jc w:val="both"/>
        <w:rPr>
          <w:rFonts w:cstheme="minorHAnsi"/>
          <w:bCs/>
          <w:i/>
          <w:iCs/>
        </w:rPr>
      </w:pPr>
      <w:r>
        <w:t xml:space="preserve">Trzeci przepis przejściowy. </w:t>
      </w:r>
      <w:r>
        <w:rPr>
          <w:i/>
        </w:rPr>
        <w:t>Budynki, w odniesieniu do których stosowanie przepisów niniejszego dekretu królewskiego jest obowiązkowe.</w:t>
      </w:r>
    </w:p>
    <w:p w14:paraId="557DDCCB" w14:textId="624E2145" w:rsidR="005074AB" w:rsidRDefault="005074AB" w:rsidP="005074AB">
      <w:pPr>
        <w:jc w:val="both"/>
        <w:rPr>
          <w:rFonts w:cstheme="minorHAnsi"/>
        </w:rPr>
      </w:pPr>
      <w:r>
        <w:t>Stosowanie zmian w kodeksie techniczno-budowlanym (CTE) przyjętych niniejszym dekretem królewskim jest obowiązkowe w odniesieniu do prac przy nowych budynkach lub prac w istniejących budynkach, dla których wymagane jest zezwolenie władz samorządowych na roboty budowlane po upływie dziewięciu miesięcy od wejścia w życie tego przepisu.</w:t>
      </w:r>
    </w:p>
    <w:p w14:paraId="588C44EA" w14:textId="52803F33" w:rsidR="005074AB" w:rsidRPr="00D47CC2" w:rsidRDefault="005074AB" w:rsidP="005074AB">
      <w:pPr>
        <w:jc w:val="both"/>
        <w:rPr>
          <w:rFonts w:cstheme="minorHAnsi"/>
          <w:bCs/>
          <w:i/>
          <w:iCs/>
        </w:rPr>
      </w:pPr>
      <w:r>
        <w:t xml:space="preserve">Pierwszy przepis końcowy. </w:t>
      </w:r>
      <w:r>
        <w:rPr>
          <w:i/>
        </w:rPr>
        <w:t>Zmiana dekretu królewskiego 1053/2014 z dnia 12 grudnia, zatwierdzająca nowe dodatkowe wytyczne techniczne (ITC) BT 52 "Instalacje do celów specjalnych. Infrastruktura ładowania pojazdów elektrycznych", towarzyszące przepisom elektrotechnicznym dla urządzeń niskonapięciowych zatwierdzonym dekretem królewskim 842/2002 z dnia 2 sierpnia oraz modyfikująca inne dodatkowe wytyczne techniczne.</w:t>
      </w:r>
    </w:p>
    <w:p w14:paraId="183CB7CD" w14:textId="78A1B469" w:rsidR="005074AB" w:rsidRPr="009064BC" w:rsidRDefault="005074AB" w:rsidP="005074AB">
      <w:pPr>
        <w:jc w:val="both"/>
        <w:rPr>
          <w:rFonts w:cstheme="minorHAnsi"/>
        </w:rPr>
      </w:pPr>
      <w:r>
        <w:t>Jeden. Pierwszy dodatkowy przepis dekretu królewskiego 1053/2014 z dnia 12 grudnia, zatwierdzający nowe dodatkowe wytyczne techniczne (ITC) BT 52, zostaje zmieniony i ma następujące brzmienie:</w:t>
      </w:r>
    </w:p>
    <w:p w14:paraId="6C63F170" w14:textId="77777777" w:rsidR="005074AB" w:rsidRPr="009064BC" w:rsidRDefault="005074AB" w:rsidP="005074AB">
      <w:pPr>
        <w:ind w:left="567"/>
        <w:jc w:val="both"/>
        <w:rPr>
          <w:rFonts w:cstheme="minorHAnsi"/>
        </w:rPr>
      </w:pPr>
      <w:r>
        <w:t>„Pierwszy przepis dodatkowy. Minimalne urządzenia infrastruktury ładowania pojazdów elektrycznych na parkingach, które nie przynależą do budynków, nowo wybudowanych lub poddawanych gruntownym remontom oraz na drogach publicznych.</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Na parkingach lub parkingach nowo wybudowanych lub poddawanych gruntownym remontom, które nie znajdują się w budynku lub są do niego przynależne, a tym samym wykraczają poza zakres dokumentu podstawowego dotyczącego oszczędności energii (DB HE) kodeksu techniczno-budowlanego, </w:t>
      </w:r>
      <w:r>
        <w:lastRenderedPageBreak/>
        <w:t xml:space="preserve">należy zainstalować co najmniej jedną stację ładowania na każde 40 miejsc parkingowych. Parking uznaje się za nowo wybudowany, gdy projekt budowlany zostanie przedstawiony do rozpatrzenia właściwej administracji publicznej po wejściu w życie niniejszego dekretu królewskiego. </w:t>
      </w:r>
    </w:p>
    <w:p w14:paraId="0C99327A" w14:textId="0AD5DDFE" w:rsidR="005074AB" w:rsidRPr="009064BC" w:rsidRDefault="005074AB" w:rsidP="002F659F">
      <w:pPr>
        <w:numPr>
          <w:ilvl w:val="0"/>
          <w:numId w:val="11"/>
        </w:numPr>
        <w:ind w:left="1418" w:hanging="284"/>
        <w:contextualSpacing/>
        <w:jc w:val="both"/>
        <w:rPr>
          <w:rFonts w:cstheme="minorHAnsi"/>
        </w:rPr>
      </w:pPr>
      <w:r>
        <w:t>Na drogach publicznych należy wykonać niezbędne urządzenia do zasilania zlokalizowanych na postojach stacji ładowania pojazdów elektrycznych przewidzianych w ponadgminnych lub gminnych planach zrównoważonej mobilności.”</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Dwa W części 3.2 dodatkowych wytycznych technicznych (ITC) BT-52 wprowadza się następujące zmiany:</w:t>
      </w:r>
    </w:p>
    <w:p w14:paraId="6A13CA56" w14:textId="2BC47FB2" w:rsidR="005074AB" w:rsidRPr="009064BC" w:rsidRDefault="005074AB" w:rsidP="005074AB">
      <w:pPr>
        <w:ind w:left="567"/>
        <w:jc w:val="both"/>
        <w:rPr>
          <w:rFonts w:cstheme="minorHAnsi"/>
        </w:rPr>
      </w:pPr>
      <w:r>
        <w:t xml:space="preserve">„3.2 Instalacja na parkingach lub zbiorczych parkingach przylegających do budynków lub kompleksów budynków. </w:t>
      </w:r>
    </w:p>
    <w:p w14:paraId="14463364" w14:textId="6F4941EA" w:rsidR="005074AB" w:rsidRPr="003934E5" w:rsidRDefault="005074AB" w:rsidP="005074AB">
      <w:pPr>
        <w:ind w:left="567"/>
        <w:jc w:val="both"/>
        <w:rPr>
          <w:rFonts w:cstheme="minorHAnsi"/>
        </w:rPr>
      </w:pPr>
      <w:r>
        <w:t xml:space="preserve">Instalacje elektryczne do ładowania </w:t>
      </w:r>
      <w:r>
        <w:rPr>
          <w:i/>
        </w:rPr>
        <w:t>pojazdów elektrycznych</w:t>
      </w:r>
      <w:r>
        <w:t xml:space="preserve"> zlokalizowane na parkingach lub parkingach wewnętrznych lub przy budynkach lub kompleksach budynków muszą być zgodne z opisanymi powyżej schematami.</w:t>
      </w:r>
      <w:r>
        <w:rPr>
          <w:color w:val="000000" w:themeColor="text1"/>
        </w:rPr>
        <w:t xml:space="preserve"> </w:t>
      </w:r>
      <w:r>
        <w:t>W tym samym budynku można stosować różne schematy, pod warunkiem że spełnione są wszystkie wymogi określone w niniejszych wytycznych (ITC) BT-52.</w:t>
      </w:r>
    </w:p>
    <w:p w14:paraId="642E3740" w14:textId="7634F88A" w:rsidR="005074AB" w:rsidRPr="009064BC" w:rsidRDefault="005074AB" w:rsidP="005074AB">
      <w:pPr>
        <w:ind w:left="567"/>
        <w:jc w:val="both"/>
        <w:rPr>
          <w:rFonts w:cstheme="minorHAnsi"/>
        </w:rPr>
      </w:pPr>
      <w:r>
        <w:t>W schemacie 4a obwód ładowania musi być zgodny z warunkami instalacji opisanymi w (ITC) BT-15, wykonanej przy użyciu kabli i układów przewodzących tego samego typu i o takich samych właściwościach jak w przypadku pojedynczej gałęzi, a przekrój kabla oblicza się zgodnie z ogólnymi wymogami sekcji 5 niniejszych wytycznych ITC. Nie jest konieczne przewidywanie zwiększenia przekroju kabli w celu określenia średnicy lub poprzecznych wymiarów stosowanego systemu przewodzenia.</w:t>
      </w:r>
    </w:p>
    <w:p w14:paraId="5C0A8DBB" w14:textId="77777777" w:rsidR="005074AB" w:rsidRPr="009064BC" w:rsidRDefault="005074AB" w:rsidP="005074AB">
      <w:pPr>
        <w:ind w:left="567"/>
        <w:jc w:val="both"/>
        <w:rPr>
          <w:rFonts w:cstheme="minorHAnsi"/>
        </w:rPr>
      </w:pPr>
      <w:r>
        <w:t>Schemat 4b stosuje się w przypadku, gdy zasilanie stacji ładowania jest zaprojektowane jako integralna część lub rozszerzenie instalacji elektrycznej zasilającej ogólne systemy warsztatowe.</w:t>
      </w:r>
    </w:p>
    <w:p w14:paraId="1BEC25F6" w14:textId="7E6AD67A" w:rsidR="005074AB" w:rsidRPr="009064BC" w:rsidRDefault="00D676D8" w:rsidP="005074AB">
      <w:pPr>
        <w:ind w:left="567"/>
        <w:jc w:val="both"/>
        <w:rPr>
          <w:rFonts w:cstheme="minorHAnsi"/>
        </w:rPr>
      </w:pPr>
      <w:r>
        <w:t>Zarówno w obiektach istniejących, jak i nowych oraz w celu ułatwienia korzystania z wybranego schematu elektrycznego, panele, w których znajdują się zabezpieczenia ogólne i inne urządzenia do ładowania pojazdów elektrycznych, mogą znajdować się w przystosowanych do tego pomieszczeniach lub w pomieszczeniach wspólnych.</w:t>
      </w:r>
    </w:p>
    <w:p w14:paraId="3AA0FB18" w14:textId="5CA8F82A" w:rsidR="005074AB" w:rsidRPr="009064BC" w:rsidRDefault="005074AB" w:rsidP="00904550">
      <w:pPr>
        <w:ind w:left="567"/>
        <w:jc w:val="both"/>
        <w:rPr>
          <w:rFonts w:cstheme="minorHAnsi"/>
        </w:rPr>
      </w:pPr>
      <w:r>
        <w:t xml:space="preserve">Wstępna instalacja elektryczna do ładowania pojazdów elektrycznych na parkingach znajdujących się lub przylegających do budynków lub kompleksów budynków ułatwia późniejsze korzystanie z wszelkich możliwych schematów instalacyjnych. Obejmuje to następujące elementy: </w:t>
      </w:r>
    </w:p>
    <w:p w14:paraId="4CCD8B27" w14:textId="732EDA20" w:rsidR="005074AB" w:rsidRPr="009064BC" w:rsidRDefault="005074AB" w:rsidP="005074AB">
      <w:pPr>
        <w:numPr>
          <w:ilvl w:val="0"/>
          <w:numId w:val="12"/>
        </w:numPr>
        <w:ind w:left="1418" w:hanging="284"/>
        <w:jc w:val="both"/>
        <w:rPr>
          <w:rFonts w:cstheme="minorHAnsi"/>
        </w:rPr>
      </w:pPr>
      <w:r>
        <w:t xml:space="preserve">Montaż systemów prowadzenia kabli z centrali liczników i przy głównych drogach parkingów w celu późniejszego zasilania stacji ładowania, które mogą znajdować się na poszczególnych miejscach parkingowych lub parkingach. W przypadku gdy instalacja wstępna jest planowana dla 100 % miejsc parkingowych, systemy prowadzenia kabli muszą docierać do każdego miejsca. W przypadku gdy instalacja wstępna nie jest planowana dla 100 % miejsc parkingowych, należy określić miejsca uznane za zgodne z przepisami </w:t>
      </w:r>
      <w:r>
        <w:lastRenderedPageBreak/>
        <w:t>dotyczącymi systemów prowadzenia przewodów kablowych, a systemy te powinny dotrzeć do każdego z tych miejsc.</w:t>
      </w:r>
    </w:p>
    <w:p w14:paraId="0460434B" w14:textId="6073EA36" w:rsidR="005074AB" w:rsidRPr="009064BC" w:rsidRDefault="005074AB" w:rsidP="00281B93">
      <w:pPr>
        <w:numPr>
          <w:ilvl w:val="0"/>
          <w:numId w:val="12"/>
        </w:numPr>
        <w:jc w:val="both"/>
        <w:rPr>
          <w:rFonts w:cstheme="minorHAnsi"/>
        </w:rPr>
      </w:pPr>
      <w:r>
        <w:t>Centralka liczników zostanie zwymiarowana zgodnie ze schematem elektrycznym wybranym do ładowania pojazdów elektrycznych i zgodnie z (ITC) BT-16. Moduły rezerwowe będą zainstalowane na co najmniej 20% miejsc parkingowych nieprzypisanych do mieszkań, a nawet jeżeli wszystkie miejsca są przypisane do mieszkań, zainstalowany będzie co najmniej jeden moduł rezerwowy. Te moduły rezerwowe będą miały możliwość zlokalizowania głównego licznika i związanych z nim urządzeń zabezpieczających przed przetężeniem, z bezpiecznikami lub wyłącznikiem.</w:t>
      </w:r>
    </w:p>
    <w:p w14:paraId="7C024BD7" w14:textId="5A6D76AB" w:rsidR="005074AB" w:rsidRPr="009064BC" w:rsidRDefault="005074AB" w:rsidP="005074AB">
      <w:pPr>
        <w:ind w:left="1416"/>
        <w:jc w:val="both"/>
        <w:rPr>
          <w:rFonts w:cstheme="minorHAnsi"/>
        </w:rPr>
      </w:pPr>
      <w:r>
        <w:t>Gniazda wtyczkowe lub złącza zainstalowane w stacji ładującej i ich automatyczne wyłączniki zabezpieczające muszą być zgodne z dowolną z opcji wskazanych w sekcji 5.4.”</w:t>
      </w:r>
    </w:p>
    <w:p w14:paraId="3C2EF0D1" w14:textId="7C25EDED" w:rsidR="00324D93" w:rsidRPr="009064BC" w:rsidRDefault="00441D3E" w:rsidP="00CA5D2D">
      <w:pPr>
        <w:jc w:val="both"/>
        <w:rPr>
          <w:rFonts w:cstheme="minorHAnsi"/>
        </w:rPr>
      </w:pPr>
      <w:r>
        <w:t>Trzy. Zmieniono akapit pierwszy sekcji 5.4 DODATKOWYCH WYTYCZNYCH TECHNICZNYCH (ITC) BT-52, który ma następujące brzmienie:</w:t>
      </w:r>
    </w:p>
    <w:p w14:paraId="1D0AA4C9" w14:textId="6013C719" w:rsidR="00527DF1" w:rsidRDefault="00324D93" w:rsidP="00CA5D2D">
      <w:pPr>
        <w:jc w:val="both"/>
        <w:rPr>
          <w:color w:val="FF0000"/>
        </w:rPr>
      </w:pPr>
      <w:r>
        <w:t xml:space="preserve">„5.4 Punkt przyłączeniowy. </w:t>
      </w:r>
      <w:bookmarkStart w:id="1" w:name="_Hlk81468651"/>
      <w:r>
        <w:t xml:space="preserve">Punkt przyłączeniowy znajduje się obok kwadratu, który ma być zasilany, i musi być trwale zainstalowany w obudowie. </w:t>
      </w:r>
    </w:p>
    <w:bookmarkEnd w:id="1"/>
    <w:p w14:paraId="346E72DC" w14:textId="2F609E5D" w:rsidR="00441D3E" w:rsidRPr="00527DF1" w:rsidRDefault="00527DF1" w:rsidP="00CA5D2D">
      <w:pPr>
        <w:jc w:val="both"/>
        <w:rPr>
          <w:color w:val="FF0000"/>
        </w:rPr>
      </w:pPr>
      <w:r>
        <w:t xml:space="preserve">Minimalna wysokość instalacji gniazd i złączy musi wynosić 60 cm nad poziomem podłoża. </w:t>
      </w:r>
      <w:bookmarkStart w:id="2" w:name="_Hlk81468224"/>
      <w:r>
        <w:t>Jeżeli stacja ładowania jest przeznaczona do użytku publicznego, maksymalna wysokość wynosi 120 cm. W dostępnych miejscach postojowych gniazda i złącza muszą być chromatycznie skontrastowane z otoczeniem, znajdować się na wysokości między 80 a 120 cm, a odległość od narożników musi wynosić co najmniej 35 cm.”</w:t>
      </w:r>
      <w:bookmarkEnd w:id="2"/>
    </w:p>
    <w:p w14:paraId="33BA3231" w14:textId="6E4F1E78" w:rsidR="005074AB" w:rsidRPr="00D47CC2" w:rsidRDefault="005074AB" w:rsidP="00CA5D2D">
      <w:pPr>
        <w:jc w:val="both"/>
        <w:rPr>
          <w:rFonts w:cstheme="minorHAnsi"/>
          <w:bCs/>
          <w:i/>
          <w:iCs/>
        </w:rPr>
      </w:pPr>
      <w:r>
        <w:t xml:space="preserve">Drugi przepis końcowy. </w:t>
      </w:r>
      <w:r>
        <w:rPr>
          <w:i/>
        </w:rPr>
        <w:t>Transpozycja prawa Unii Europejskiej.</w:t>
      </w:r>
    </w:p>
    <w:p w14:paraId="09244551" w14:textId="77777777" w:rsidR="005074AB" w:rsidRPr="009064BC" w:rsidRDefault="005074AB" w:rsidP="00CA5D2D">
      <w:pPr>
        <w:jc w:val="both"/>
        <w:rPr>
          <w:rFonts w:cstheme="minorHAnsi"/>
        </w:rPr>
      </w:pPr>
      <w:r>
        <w:t>Dekret królewski dokonuje transpozycji do prawa hiszpańskiego art. 8 ust. 2, art. 8 ust. 3 i art. 8 ust. 5 dyrektywy Parlamentu Europejskiego i Rady (UE) 2018/844 z dnia 30 maja 2018 r. zmieniającej dyrektywę 2010/31/UE w sprawie charakterystyki energetycznej budynków i dyrektywę 2012/27/UE w sprawie efektywności energetycznej.</w:t>
      </w:r>
    </w:p>
    <w:p w14:paraId="106D513A" w14:textId="7AD1ED46" w:rsidR="005074AB" w:rsidRPr="00C760C9" w:rsidRDefault="005074AB" w:rsidP="005074AB">
      <w:pPr>
        <w:jc w:val="both"/>
        <w:rPr>
          <w:rFonts w:cstheme="minorHAnsi"/>
          <w:bCs/>
          <w:i/>
          <w:iCs/>
        </w:rPr>
      </w:pPr>
      <w:r>
        <w:t xml:space="preserve">Trzeci przepis końcowy. </w:t>
      </w:r>
      <w:r>
        <w:rPr>
          <w:i/>
        </w:rPr>
        <w:t>Wejście w życie.</w:t>
      </w:r>
    </w:p>
    <w:p w14:paraId="74B6AB2B" w14:textId="74C92419" w:rsidR="001035FC" w:rsidRDefault="005074AB" w:rsidP="000A2592">
      <w:pPr>
        <w:jc w:val="both"/>
        <w:rPr>
          <w:rFonts w:cstheme="minorHAnsi"/>
          <w:color w:val="FF0000"/>
        </w:rPr>
      </w:pPr>
      <w:r>
        <w:t>Niniejszy dekret królewski wchodzi w życie następnego dnia po jego publikacji w Dzienniku Urzędowym.</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Madryt, dnia                          </w:t>
      </w:r>
    </w:p>
    <w:p w14:paraId="28C0A3AF" w14:textId="7E6F82AF" w:rsidR="007F6E00" w:rsidRPr="00243027" w:rsidRDefault="00D47CC2" w:rsidP="00726501">
      <w:pPr>
        <w:jc w:val="center"/>
        <w:rPr>
          <w:rFonts w:cstheme="minorHAnsi"/>
          <w:sz w:val="24"/>
          <w:szCs w:val="24"/>
        </w:rPr>
      </w:pPr>
      <w:r>
        <w:rPr>
          <w:sz w:val="24"/>
        </w:rPr>
        <w:t>MINISTER TRANSPORTU, MOBILNOŚCI I AGENDY MIEJSKIEJ</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TRZECIA WICEPRZEWODNICZĄCA RZĄDU I MINISTER DS. ZMIAN KLIMATU I PROBLEMÓW DEMOGRAFICZNYCH</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6121" w14:textId="77777777" w:rsidR="00E330EB" w:rsidRDefault="00E330EB" w:rsidP="003B5AE7">
      <w:pPr>
        <w:spacing w:after="0" w:line="240" w:lineRule="auto"/>
      </w:pPr>
      <w:r>
        <w:separator/>
      </w:r>
    </w:p>
  </w:endnote>
  <w:endnote w:type="continuationSeparator" w:id="0">
    <w:p w14:paraId="4A8B2379" w14:textId="77777777" w:rsidR="00E330EB" w:rsidRDefault="00E330EB"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Projekt dekretu królewskiego zmieniającego kodeks techniczno-budowlany, zatwierdzony dekretem królewskim nr 314/2006 z dnia 17 marca 2006 r.</w:t>
    </w:r>
  </w:p>
  <w:p w14:paraId="53C3F409" w14:textId="5B87674E" w:rsidR="00251439" w:rsidRPr="00C864A9" w:rsidRDefault="00251439" w:rsidP="00D214B0">
    <w:pPr>
      <w:pStyle w:val="Footer"/>
      <w:rPr>
        <w:i/>
        <w:sz w:val="15"/>
        <w:szCs w:val="15"/>
      </w:rPr>
    </w:pPr>
    <w:r>
      <w:rPr>
        <w:i/>
        <w:sz w:val="15"/>
      </w:rPr>
      <w:t>Wersja europejskiej informacji publicznej. październik 2021 r.</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4A85" w14:textId="77777777" w:rsidR="00E330EB" w:rsidRDefault="00E330EB" w:rsidP="003B5AE7">
      <w:pPr>
        <w:spacing w:after="0" w:line="240" w:lineRule="auto"/>
      </w:pPr>
      <w:r>
        <w:separator/>
      </w:r>
    </w:p>
  </w:footnote>
  <w:footnote w:type="continuationSeparator" w:id="0">
    <w:p w14:paraId="0D77733A" w14:textId="77777777" w:rsidR="00E330EB" w:rsidRDefault="00E330EB"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MINISTERSTWO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ROZWOJU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E58DF"/>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7366</Words>
  <Characters>41988</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2021-11-03T09:44:00Z</dcterms:modified>
</cp:coreProperties>
</file>