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DF6A" w14:textId="231973C4" w:rsidR="00056AAB" w:rsidRDefault="00104411" w:rsidP="003667D0">
      <w:pPr>
        <w:tabs>
          <w:tab w:val="left" w:leader="dot" w:pos="3384"/>
          <w:tab w:val="left" w:leader="dot" w:pos="3888"/>
          <w:tab w:val="left" w:leader="dot" w:pos="4824"/>
        </w:tabs>
        <w:spacing w:line="276" w:lineRule="auto"/>
        <w:ind w:left="1296"/>
        <w:jc w:val="center"/>
        <w:textAlignment w:val="baseline"/>
        <w:rPr>
          <w:rFonts w:asciiTheme="minorHAnsi" w:eastAsia="Calibri" w:hAnsiTheme="minorHAnsi"/>
          <w:b/>
          <w:sz w:val="28"/>
        </w:rPr>
      </w:pPr>
      <w:r>
        <w:rPr>
          <w:rFonts w:asciiTheme="minorHAnsi" w:hAnsiTheme="minorHAnsi"/>
          <w:b/>
          <w:color w:val="000000"/>
          <w:sz w:val="28"/>
        </w:rPr>
        <w:t>КРАЛСКИ УКАЗ</w:t>
      </w:r>
      <w:r>
        <w:rPr>
          <w:rFonts w:asciiTheme="minorHAnsi" w:hAnsiTheme="minorHAnsi"/>
          <w:b/>
          <w:color w:val="000000"/>
          <w:sz w:val="28"/>
        </w:rPr>
        <w:tab/>
        <w:t>/</w:t>
      </w:r>
      <w:r>
        <w:rPr>
          <w:rFonts w:asciiTheme="minorHAnsi" w:hAnsiTheme="minorHAnsi"/>
          <w:b/>
          <w:color w:val="000000"/>
          <w:sz w:val="28"/>
        </w:rPr>
        <w:tab/>
        <w:t>, от</w:t>
      </w:r>
      <w:r>
        <w:rPr>
          <w:rFonts w:asciiTheme="minorHAnsi" w:hAnsiTheme="minorHAnsi"/>
          <w:b/>
          <w:color w:val="000000"/>
          <w:sz w:val="28"/>
        </w:rPr>
        <w:tab/>
        <w:t xml:space="preserve"> за одобряване на стандарта за устойчиво на земетресения строителство НСС-</w:t>
      </w:r>
      <w:r>
        <w:rPr>
          <w:rFonts w:asciiTheme="minorHAnsi" w:hAnsiTheme="minorHAnsi"/>
          <w:b/>
          <w:sz w:val="28"/>
        </w:rPr>
        <w:t>23</w:t>
      </w:r>
    </w:p>
    <w:p w14:paraId="227AE49F" w14:textId="37A8B281" w:rsidR="003667D0" w:rsidRPr="00C3429B" w:rsidRDefault="003667D0" w:rsidP="003667D0">
      <w:pPr>
        <w:tabs>
          <w:tab w:val="left" w:leader="dot" w:pos="3384"/>
          <w:tab w:val="left" w:leader="dot" w:pos="3888"/>
          <w:tab w:val="left" w:leader="dot" w:pos="4824"/>
        </w:tabs>
        <w:spacing w:line="276" w:lineRule="auto"/>
        <w:ind w:left="1296"/>
        <w:textAlignment w:val="baseline"/>
        <w:rPr>
          <w:rFonts w:asciiTheme="minorHAnsi" w:eastAsia="Calibri" w:hAnsiTheme="minorHAnsi"/>
          <w:b/>
          <w:sz w:val="28"/>
          <w:lang w:val="el-GR"/>
        </w:rPr>
      </w:pPr>
    </w:p>
    <w:p w14:paraId="418AC172" w14:textId="37EBFE33" w:rsidR="00A44FF2" w:rsidRDefault="00104411"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Постоянният комитет по стандартите за устойчивост на земетресения, междуведомствен колегиален орган, създаден с Указ 3209/1974 от 30 август към Министерството на транспорта, мобилността и градската програма и в рамките на Генералната дирекция на Националния географски институт, както е посочено в Кралски указ 645/2020 от 7 юли за разработване на основната организационна структура на Министерството на транспорта, мобилността и градската програма, наред с неговите функции, е натоварен с актуализирането на Правилника за устойчивост на земетресения, както е предвидено в член 2, буква Б) от Кралски указ 518/1984 от 22 февруари, който реорганизира състава му.</w:t>
      </w:r>
    </w:p>
    <w:p w14:paraId="032C0763" w14:textId="4901726A" w:rsidR="00C25687" w:rsidRDefault="00757E5B"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Досега действащите разпоредби са включени в „Стандарт за устойчиво на земетресение строителство: Общи части и сгради (NCSE-02)“, одобрени с Кралски указ 997/2002 от 27 септември и в „Стандарт за устойчиво на земетресение строителство: Мостове (NCSP-07)“, одобрени с Кралски указ 637/2007 от 18 май. Изминалото време от тяхното одобрение изисква те да бъдат преразгледани и актуализирани, както по технически, така и по регулаторни причини, за да се адаптират регламентите към текущото състояние на познанията в областта на сеизмологията и сеизмичното инженерство, както и към нормативната уредба, в която трябва да функционира.</w:t>
      </w:r>
    </w:p>
    <w:p w14:paraId="00D9E943" w14:textId="08D48EDA" w:rsidR="0008161F" w:rsidRDefault="0008161F"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В изпълнение на своите функции Постоянният комитет за стандарти за устойчивост на земетресения е изготвил нов стандарт за устойчиво на земетресения строителство, който заменя горепосочените стандарти, като включва най-важните аспекти на европейските регламенти за изчисляване на структурите в съответствие с процедурите, установени в конструктивните Еврокодове, и разширява тяхното съдържание с повече конструктивни типологии. Новият стандарт установява техническите условия, на които трябва да отговарят строителните конструкции и строителните работи, така че тяхното поведение, когато са изправени пред сеизмични явления, да избягва сериозни последици за здравето и безопасността на хората, да избягва икономически загуби и да насърчава поддържането на основни услуги за обществото в случай на земетресения с висока интензивност.</w:t>
      </w:r>
    </w:p>
    <w:p w14:paraId="6F2451EE"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Настоящият Кралски указ е в съответствие с принципите на необходимост, ефективност, пропорционалност, правна сигурност, прозрачност и ефикасност, установени в член 129 от Закон 39/2015 от 1 октомври относно общата административна процедура на публичните администрации. </w:t>
      </w:r>
    </w:p>
    <w:p w14:paraId="4A3F3D5F" w14:textId="0682A2D0" w:rsidR="001D206B" w:rsidRDefault="007F2FE2"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Той е в съответствие с принципите на необходимост и ефективност, тъй като прилагането на новия стандарт за устойчивост на земетресения представлява, по отношение на предходните разпоредби, напредък в познаването и определянето на сеизмичната активност, както и изясняване на използването на концепциите и изискванията за устойчивост на земетресения и пластичност, които трябва да се изискват от конструкциите в сеизмичните зони. Проектът не нарушава конкуренцията на пазара, а благоприятства конкуренцията, като регулира аспекти, които не са обхванати от действащите разпоредби. Той също така е в съответствие с принципа на пропорционалност, тъй като стандартът съдържа правилата, необходими за задоволяване на гореописаните нужди, без да съществуват други мерки, които са по-малко ограничаващи </w:t>
      </w:r>
      <w:r>
        <w:rPr>
          <w:rFonts w:asciiTheme="minorHAnsi" w:hAnsiTheme="minorHAnsi"/>
          <w:color w:val="000000" w:themeColor="text1"/>
        </w:rPr>
        <w:lastRenderedPageBreak/>
        <w:t>правата или налагащи по-малко задължения на адресатите, и с принципа на правна сигурност предвид интегрирането им в правния ред, в пълно съответствие с действащите национални и европейски разпоредби. Принципът на прозрачност е гарантиран, тъй като всички информационни процедури, посочени в Закон 50/1997 на правителството от 27 ноември, са спазени и това е публикувано на портала за прозрачност на испанското правителство. Накрая, при прилагането на принципа на ефективност този стандарт не води до увеличаване на допълнителната административна тежест или до увеличаване на обществените разходи.</w:t>
      </w:r>
    </w:p>
    <w:p w14:paraId="53F4DA01" w14:textId="712176A3"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Настоящият Кралски указ се издава в съответствие с разпоредбите </w:t>
      </w:r>
      <w:r>
        <w:rPr>
          <w:rFonts w:asciiTheme="minorHAnsi" w:hAnsiTheme="minorHAnsi"/>
        </w:rPr>
        <w:t xml:space="preserve">на член 149.1.13а от испанската конституция </w:t>
      </w:r>
      <w:r>
        <w:rPr>
          <w:rFonts w:asciiTheme="minorHAnsi" w:hAnsiTheme="minorHAnsi"/>
          <w:color w:val="000000" w:themeColor="text1"/>
        </w:rPr>
        <w:t>който определя компетентността на държавата по въпросите на базите и координацията на общото планиране на икономическата дейност.</w:t>
      </w:r>
    </w:p>
    <w:p w14:paraId="343DD835" w14:textId="77777777" w:rsidR="004459F4" w:rsidRP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 xml:space="preserve">Процесът на изготвяне на този Кралски указ приключи процедурата, предвидена в Закон 50/1997 от 27 ноември на правителството и в Директива (ЕС) 2015/1535 на Европейския парламент и на Съвета от 9 септември, установяваща процедура за предоставяне на информация в сферата на техническите регламенти и правила относно услугите на информационното общество, както и в Кралски указ 1337/1999 от 31 юли, уреждащ предоставянето на информация в областта на техническите правила и регламенти, свързани с услугите на информационното общество. </w:t>
      </w:r>
    </w:p>
    <w:p w14:paraId="288E1E12" w14:textId="6459E5E4" w:rsidR="004459F4" w:rsidRDefault="004459F4" w:rsidP="00870C22">
      <w:pPr>
        <w:suppressAutoHyphens/>
        <w:spacing w:after="240" w:line="276" w:lineRule="auto"/>
        <w:ind w:firstLine="425"/>
        <w:jc w:val="both"/>
        <w:rPr>
          <w:rFonts w:asciiTheme="minorHAnsi" w:eastAsia="Times New Roman" w:hAnsiTheme="minorHAnsi" w:cstheme="minorHAnsi"/>
          <w:color w:val="000000" w:themeColor="text1"/>
        </w:rPr>
      </w:pPr>
      <w:r>
        <w:rPr>
          <w:rFonts w:asciiTheme="minorHAnsi" w:hAnsiTheme="minorHAnsi"/>
          <w:color w:val="000000" w:themeColor="text1"/>
        </w:rPr>
        <w:t>Този Кралски указ е приет по инициатива на Постоянния комитет за стандарти за устойчивост на земетресения.</w:t>
      </w:r>
    </w:p>
    <w:p w14:paraId="42144605" w14:textId="312B0DF6" w:rsidR="00056AAB" w:rsidRDefault="004459F4" w:rsidP="00870C22">
      <w:pPr>
        <w:suppressAutoHyphens/>
        <w:spacing w:after="240" w:line="276" w:lineRule="auto"/>
        <w:ind w:firstLine="425"/>
        <w:jc w:val="both"/>
        <w:rPr>
          <w:rFonts w:asciiTheme="minorHAnsi" w:eastAsia="Times New Roman" w:hAnsiTheme="minorHAnsi" w:cstheme="minorHAnsi"/>
          <w:color w:val="000000"/>
        </w:rPr>
      </w:pPr>
      <w:r>
        <w:rPr>
          <w:rFonts w:asciiTheme="minorHAnsi" w:hAnsiTheme="minorHAnsi"/>
          <w:color w:val="000000" w:themeColor="text1"/>
        </w:rPr>
        <w:t xml:space="preserve">По силата на това, по предложение на министъра на транспорта, мобилността и градската програма </w:t>
      </w:r>
      <w:r>
        <w:rPr>
          <w:rFonts w:asciiTheme="minorHAnsi" w:hAnsiTheme="minorHAnsi"/>
          <w:color w:val="000000"/>
        </w:rPr>
        <w:t>и след обсъждане в Министерския съвет в ден...</w:t>
      </w:r>
    </w:p>
    <w:p w14:paraId="01FC4263" w14:textId="77777777" w:rsidR="004459F4" w:rsidRPr="00C3429B" w:rsidRDefault="004459F4" w:rsidP="004459F4">
      <w:pPr>
        <w:suppressAutoHyphens/>
        <w:ind w:firstLine="425"/>
        <w:jc w:val="both"/>
        <w:rPr>
          <w:rFonts w:asciiTheme="minorHAnsi" w:eastAsia="Times New Roman" w:hAnsiTheme="minorHAnsi" w:cstheme="minorHAnsi"/>
          <w:color w:val="000000"/>
        </w:rPr>
      </w:pPr>
    </w:p>
    <w:p w14:paraId="1ECEFAB2" w14:textId="77777777" w:rsidR="00056AAB" w:rsidRPr="006D4B4B" w:rsidRDefault="00104411" w:rsidP="00AD035F">
      <w:pPr>
        <w:spacing w:after="240" w:line="276" w:lineRule="auto"/>
        <w:jc w:val="center"/>
        <w:textAlignment w:val="baseline"/>
        <w:rPr>
          <w:rFonts w:asciiTheme="minorHAnsi" w:eastAsia="Times New Roman" w:hAnsiTheme="minorHAnsi"/>
          <w:color w:val="000000"/>
          <w:sz w:val="24"/>
          <w:szCs w:val="24"/>
        </w:rPr>
      </w:pPr>
      <w:r>
        <w:rPr>
          <w:rFonts w:asciiTheme="minorHAnsi" w:hAnsiTheme="minorHAnsi"/>
          <w:color w:val="000000"/>
          <w:sz w:val="24"/>
        </w:rPr>
        <w:t>ПОСТАНОВЯВАМ</w:t>
      </w:r>
    </w:p>
    <w:p w14:paraId="05744015"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Член 1. Цел</w:t>
      </w:r>
    </w:p>
    <w:p w14:paraId="721FFEF1" w14:textId="46A6063B" w:rsidR="0046432E"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Одобрен е стандартът за устойчиво на земетресения строителство, NCSR-23, който установява основните понятия и изисквания, на които трябва да отговарят конструкциите, разположени в сеизмични зони, в Испания, в допълнение към спазването на останалите действащи специфични разпоредби по отношение на конструкциите. </w:t>
      </w:r>
    </w:p>
    <w:p w14:paraId="78734A0A" w14:textId="7654B8F0"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Структурите и конструкциите, които могат да бъдат подложени на действието на земетресенията, се проектират, изпълняват и документират, като се отчита сеизмичното действие в съответствие с разпоредбите на шестте приложения, които съставляват настоящия стандарт за устойчивост на земетресения и които са:</w:t>
      </w:r>
    </w:p>
    <w:p w14:paraId="79EC5159"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Приложение 1: Общи правила, сеизмични дейности и строителни правила.</w:t>
      </w:r>
    </w:p>
    <w:p w14:paraId="79F9BCF0"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Приложение 2: Мостове.</w:t>
      </w:r>
    </w:p>
    <w:p w14:paraId="7CD23BE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Приложение 3: Оценка и сеизмична адаптация на сградите.</w:t>
      </w:r>
    </w:p>
    <w:p w14:paraId="2850B202"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Приложение 4: Силози, резервоари и тръби.</w:t>
      </w:r>
    </w:p>
    <w:p w14:paraId="3AC9CD45" w14:textId="77777777" w:rsidR="009C173C" w:rsidRP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Приложение 5: Основи, ограждащи структури и геотехнически аспекти.</w:t>
      </w:r>
    </w:p>
    <w:p w14:paraId="6AD4A209" w14:textId="1CF81FB4" w:rsidR="009C173C" w:rsidRDefault="009C173C" w:rsidP="006D4B4B">
      <w:pPr>
        <w:spacing w:line="276" w:lineRule="auto"/>
        <w:ind w:left="567"/>
        <w:jc w:val="both"/>
        <w:textAlignment w:val="baseline"/>
        <w:rPr>
          <w:rFonts w:asciiTheme="minorHAnsi" w:eastAsia="Times New Roman" w:hAnsiTheme="minorHAnsi"/>
          <w:color w:val="000000"/>
          <w:spacing w:val="2"/>
        </w:rPr>
      </w:pPr>
      <w:r>
        <w:rPr>
          <w:rFonts w:asciiTheme="minorHAnsi" w:hAnsiTheme="minorHAnsi"/>
          <w:color w:val="000000"/>
        </w:rPr>
        <w:t>Приложение 6: Кули, мачти и комини.</w:t>
      </w:r>
    </w:p>
    <w:p w14:paraId="75E4EE37" w14:textId="77777777" w:rsidR="00870C22" w:rsidRPr="00C3429B" w:rsidRDefault="00870C22" w:rsidP="006D4B4B">
      <w:pPr>
        <w:spacing w:line="276" w:lineRule="auto"/>
        <w:ind w:left="567"/>
        <w:jc w:val="both"/>
        <w:textAlignment w:val="baseline"/>
        <w:rPr>
          <w:rFonts w:asciiTheme="minorHAnsi" w:eastAsia="Times New Roman" w:hAnsiTheme="minorHAnsi"/>
          <w:color w:val="000000"/>
          <w:spacing w:val="2"/>
        </w:rPr>
      </w:pPr>
    </w:p>
    <w:p w14:paraId="7A592887" w14:textId="3BD133CC" w:rsidR="009C173C" w:rsidRPr="00870C22" w:rsidRDefault="009C173C"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lastRenderedPageBreak/>
        <w:t>Като алтернатива, авторът на проекта и факултативното управление могат, като използват правомощията си, под тяхна отговорност и предварително съгласие на имота, да приемат други решения, които частично или изцяло се отклоняват от процедурите, посочени в предходните приложения (чрез различни изчислителни системи, конструктивни договорености и т.н.), при условие че е документирано, че конструкцията отговаря на изискванията на настоящия стандарт за устойчивост на земетресения, като постига най-малко равностойни услуги на тези, които биха били получени чрез прилагането на процедурите на настоящия стандарт.</w:t>
      </w:r>
    </w:p>
    <w:p w14:paraId="23196ECE" w14:textId="77777777" w:rsidR="00056AAB" w:rsidRPr="00D35EA2" w:rsidRDefault="00104411" w:rsidP="00AD035F">
      <w:pPr>
        <w:spacing w:after="240" w:line="276" w:lineRule="auto"/>
        <w:textAlignment w:val="baseline"/>
        <w:rPr>
          <w:rFonts w:asciiTheme="minorHAnsi" w:eastAsia="Times New Roman" w:hAnsiTheme="minorHAnsi"/>
          <w:b/>
          <w:color w:val="000000"/>
        </w:rPr>
      </w:pPr>
      <w:r>
        <w:rPr>
          <w:rFonts w:asciiTheme="minorHAnsi" w:hAnsiTheme="minorHAnsi"/>
          <w:b/>
          <w:color w:val="000000"/>
        </w:rPr>
        <w:t>Член 2. Приложно поле</w:t>
      </w:r>
    </w:p>
    <w:p w14:paraId="1B40A98A" w14:textId="0DDD90E1"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Изискванията за устойчиво на земетресения съдържание на този стандарт се прилагат за всички проекти и строителни работи на нови сгради, мостове, кули, мачти, комини, силози, резервоари, тръби, ограждащи конструкции и техните основи, както и за геотехническия проект. </w:t>
      </w:r>
    </w:p>
    <w:p w14:paraId="7968B2C8" w14:textId="3FBBAE08"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По същия начин настоящият стандарт се прилага за сеизмичната оценка на съществуващи сгради, както и, когато е уместно, за тяхното сеизмично адаптиране, в случаите, когато се извършват ремонтни работи или строителни работи по възстановяване с достатъчна тежест или когато се изисква такава оценка или адаптиране. За целите на този стандарт, устойчива на земетресения, сеизмичната адаптация обхваща както укрепването на неповредени конструкции, така и укрепването на конструкциите, повредени от земетресение.</w:t>
      </w:r>
    </w:p>
    <w:p w14:paraId="3286098A" w14:textId="1B39F053" w:rsidR="00A623A2" w:rsidRPr="00870C22" w:rsidRDefault="00A623A2"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Условията, които могат да изискват сеизмична оценка на отделните сгради, които евентуално водят до сеизмична адекватност, попадат извън предмета и обхвата на настоящия стандарт.</w:t>
      </w:r>
    </w:p>
    <w:p w14:paraId="2602E605" w14:textId="25143B7E" w:rsidR="00A623A2" w:rsidRPr="00870C22" w:rsidRDefault="0010441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По целесъобразност този стандарт за устойчивост на земетресения може да се прилага и в допълнение към други конструктивни типове, които не са изрично включени в неговия обхват, когато те не съществуват за същите специфични правила или разпоредби и при условие че не са изрично изключени от приложното му поле.</w:t>
      </w:r>
    </w:p>
    <w:p w14:paraId="163A6949" w14:textId="735DB3B4" w:rsidR="00671CE6" w:rsidRPr="00D35EA2" w:rsidRDefault="00671CE6" w:rsidP="00AD035F">
      <w:pPr>
        <w:pStyle w:val="parrafo"/>
        <w:shd w:val="clear" w:color="auto" w:fill="FFFFFF"/>
        <w:spacing w:before="0" w:beforeAutospacing="0" w:after="240" w:afterAutospacing="0" w:line="276" w:lineRule="auto"/>
        <w:jc w:val="both"/>
        <w:rPr>
          <w:rFonts w:asciiTheme="minorHAnsi" w:hAnsiTheme="minorHAnsi"/>
          <w:b/>
          <w:color w:val="000000"/>
          <w:sz w:val="22"/>
          <w:szCs w:val="22"/>
        </w:rPr>
      </w:pPr>
      <w:r>
        <w:rPr>
          <w:rFonts w:asciiTheme="minorHAnsi" w:hAnsiTheme="minorHAnsi"/>
          <w:b/>
          <w:color w:val="000000"/>
          <w:sz w:val="22"/>
        </w:rPr>
        <w:t>Единствена преходна разпоредба. Приложение към проекти и работи.</w:t>
      </w:r>
    </w:p>
    <w:p w14:paraId="7E1DEF06" w14:textId="77777777" w:rsidR="006D4B4B" w:rsidRPr="00870C22" w:rsidRDefault="006D4B4B"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Разпоредбите на настоящия Кралски указ не се прилагат по в строителни работи по отношение на проекти, чийто ред за изготвяне или проучване в областта на публичната администрация или възлагане, в други случаи, е бил извършен преди влизането в сила на настоящия Кралски указ, както и за строителни работи, извършени в рамките на разработването им, при условие че те са започнати в срок, не по-дълъг от две години от това влизане в сила, освен ако компетентната публична администрация или, когато е уместно, организаторът, се съгласи, че това е задължително. </w:t>
      </w:r>
    </w:p>
    <w:p w14:paraId="7A84DDAE" w14:textId="781A6671" w:rsidR="00870C22" w:rsidRPr="006D4B4B" w:rsidRDefault="006D4B4B" w:rsidP="00870C22">
      <w:pPr>
        <w:spacing w:after="240" w:line="276" w:lineRule="auto"/>
        <w:jc w:val="both"/>
        <w:textAlignment w:val="baseline"/>
        <w:rPr>
          <w:rFonts w:asciiTheme="minorHAnsi" w:eastAsia="Times New Roman" w:hAnsiTheme="minorHAnsi"/>
          <w:color w:val="000000"/>
          <w:spacing w:val="2"/>
        </w:rPr>
      </w:pPr>
      <w:r>
        <w:rPr>
          <w:rFonts w:asciiTheme="minorHAnsi" w:hAnsiTheme="minorHAnsi"/>
          <w:color w:val="000000"/>
        </w:rPr>
        <w:t xml:space="preserve">Разпоредбите на настоящия Кралски указ не се прилагат в областта на строителството за проекти, които са поискали разрешение за общинско строителство, или го изискват в срок от девет месеца от влизането в сила на този Кралски указ, в случая с Кралски указ 997/2002 от 27 септември, с който се одобрява стандартът за устойчиво на земетресения строителство, който се прилага за: Общи части и сгради (NCSE-02). Тези работи трябва да започнат в рамките на максималния срок на действие на лиценза в съответствие с нормативната уредба, а в противен случай — в срок, не по-дълъг от шест месеца от датата на предоставяне на лиценза. В противен случай проектите трябва да бъдат адаптирани към разпоредбите на този Кралски указ. </w:t>
      </w:r>
    </w:p>
    <w:p w14:paraId="620031EA" w14:textId="77777777" w:rsidR="008A1694" w:rsidRPr="00D35EA2" w:rsidRDefault="008A1694" w:rsidP="00AD035F">
      <w:pPr>
        <w:spacing w:after="240" w:line="276" w:lineRule="auto"/>
        <w:jc w:val="both"/>
        <w:textAlignment w:val="baseline"/>
        <w:rPr>
          <w:rFonts w:asciiTheme="minorHAnsi" w:eastAsia="Times New Roman" w:hAnsiTheme="minorHAnsi"/>
          <w:b/>
          <w:color w:val="000000"/>
        </w:rPr>
      </w:pPr>
      <w:r>
        <w:rPr>
          <w:rFonts w:asciiTheme="minorHAnsi" w:hAnsiTheme="minorHAnsi"/>
          <w:b/>
          <w:color w:val="000000"/>
        </w:rPr>
        <w:lastRenderedPageBreak/>
        <w:t>Единствена отменяща разпоредба. Отмяна на нормативни актове</w:t>
      </w:r>
    </w:p>
    <w:p w14:paraId="3C87D465" w14:textId="41A1036B" w:rsidR="002B1514" w:rsidRPr="00870C22" w:rsidRDefault="002B1514"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Считано от влизането в сила на този Кралски указ, Кралски указ 997/2002 от 27 септември за одобряване на стандарта за устойчиво на земетресения строителство се отменят: Общи части и сгради (NCSE-02) и Кралски указ 637/2007 от 18 май за одобряване на стандарта за устойчиво на земетресения строителство: Мостове (NCSP-07).</w:t>
      </w:r>
    </w:p>
    <w:p w14:paraId="590D095E" w14:textId="77777777" w:rsidR="00870C22" w:rsidRPr="00C3429B" w:rsidRDefault="00870C22" w:rsidP="00870C22">
      <w:pPr>
        <w:spacing w:after="120"/>
        <w:jc w:val="both"/>
        <w:textAlignment w:val="baseline"/>
        <w:rPr>
          <w:rFonts w:asciiTheme="minorHAnsi" w:eastAsia="Times New Roman" w:hAnsiTheme="minorHAnsi"/>
          <w:color w:val="000000"/>
          <w:spacing w:val="2"/>
        </w:rPr>
      </w:pPr>
    </w:p>
    <w:p w14:paraId="41EC003B" w14:textId="24B0084C" w:rsidR="00EC6A57" w:rsidRPr="00D35EA2" w:rsidRDefault="00EC6A57"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Първа заключителна разпоредба. Възлагане на правомощия</w:t>
      </w:r>
    </w:p>
    <w:p w14:paraId="15D1B399" w14:textId="52F39719" w:rsidR="00EC6A57" w:rsidRPr="00870C22" w:rsidRDefault="00EC6A57"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Този Кралски указ има основен характер и е издаден съгласно разпоредбите на член 149.1.13а от испанската конституция, който предоставя на държавата изключителна компетентност по отношение на основата и координацията на общото планиране на икономическата дейност. </w:t>
      </w:r>
    </w:p>
    <w:p w14:paraId="28E3B818" w14:textId="77777777" w:rsidR="00671CE6" w:rsidRPr="00AD035F" w:rsidRDefault="002B1514"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 xml:space="preserve">Втора заключителна разпоредба. </w:t>
      </w:r>
      <w:r>
        <w:rPr>
          <w:rFonts w:asciiTheme="minorHAnsi" w:hAnsiTheme="minorHAnsi"/>
          <w:b/>
          <w:color w:val="333333"/>
        </w:rPr>
        <w:t>Орган по изпълнение</w:t>
      </w:r>
    </w:p>
    <w:p w14:paraId="431A3D72" w14:textId="7CF39534" w:rsidR="00671CE6" w:rsidRPr="00870C22" w:rsidRDefault="00671CE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Титулярят на Министерството на транспорта, мобилността и градската програма е оправомощен да издава необходимите разпоредби за разработване и прилагане на разпоредбите на настоящия Кралски указ.</w:t>
      </w:r>
    </w:p>
    <w:p w14:paraId="3568A83D" w14:textId="72D1D66B" w:rsidR="00391221" w:rsidRDefault="00391221" w:rsidP="00391221">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Трета заключителна разпоредба. Разрешение за актуализиране на допълнения Д, Е и Ж от приложение 1 към стандарта за устойчиво на земетресения строителство.</w:t>
      </w:r>
    </w:p>
    <w:p w14:paraId="272F5E7E" w14:textId="319390A4" w:rsidR="00391221" w:rsidRPr="00870C22" w:rsidRDefault="00391221"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Титулярът на Министерството на транспорта, мобилността и градската програма има право да актуализира картата на опасностите, определена в допълнения Д и Е от приложение 1, и списъка на стандартите, посочени в допълнение Ж от приложение 1, когато тези актуализации са предназначени да приведат това съдържание в съответствие с напредъка на техниката или със законодателството на Общността.</w:t>
      </w:r>
    </w:p>
    <w:p w14:paraId="60B41840" w14:textId="4C5BA609" w:rsidR="002B1514" w:rsidRPr="00D35EA2" w:rsidRDefault="00671CE6" w:rsidP="00AD035F">
      <w:pPr>
        <w:spacing w:after="240" w:line="276" w:lineRule="auto"/>
        <w:jc w:val="both"/>
        <w:textAlignment w:val="baseline"/>
        <w:rPr>
          <w:rFonts w:asciiTheme="minorHAnsi" w:eastAsia="Times New Roman" w:hAnsiTheme="minorHAnsi" w:cstheme="minorHAnsi"/>
          <w:b/>
          <w:color w:val="000000"/>
        </w:rPr>
      </w:pPr>
      <w:r>
        <w:rPr>
          <w:rFonts w:asciiTheme="minorHAnsi" w:hAnsiTheme="minorHAnsi"/>
          <w:b/>
          <w:color w:val="000000"/>
        </w:rPr>
        <w:t>Четвърта заключителна разпоредба. Влизане в сила</w:t>
      </w:r>
    </w:p>
    <w:p w14:paraId="78134748" w14:textId="2E12FD18" w:rsidR="00066186" w:rsidRPr="00870C22" w:rsidRDefault="00066186" w:rsidP="00870C22">
      <w:pPr>
        <w:spacing w:after="240" w:line="276" w:lineRule="auto"/>
        <w:jc w:val="both"/>
        <w:textAlignment w:val="baseline"/>
        <w:rPr>
          <w:rFonts w:asciiTheme="minorHAnsi" w:eastAsia="Times New Roman" w:hAnsiTheme="minorHAnsi"/>
          <w:color w:val="000000"/>
        </w:rPr>
      </w:pPr>
      <w:r>
        <w:rPr>
          <w:rFonts w:asciiTheme="minorHAnsi" w:hAnsiTheme="minorHAnsi"/>
          <w:color w:val="000000"/>
        </w:rPr>
        <w:t xml:space="preserve">Настоящият Кралски указ влиза в сила на </w:t>
      </w:r>
      <w:r>
        <w:rPr>
          <w:rFonts w:asciiTheme="minorHAnsi" w:hAnsiTheme="minorHAnsi"/>
          <w:color w:val="000000"/>
          <w:highlight w:val="yellow"/>
        </w:rPr>
        <w:t>1 юли 2023 г.</w:t>
      </w:r>
      <w:r>
        <w:rPr>
          <w:rFonts w:asciiTheme="minorHAnsi" w:hAnsiTheme="minorHAnsi"/>
          <w:color w:val="000000"/>
        </w:rPr>
        <w:t xml:space="preserve"> </w:t>
      </w:r>
    </w:p>
    <w:p w14:paraId="16A294E9" w14:textId="77777777" w:rsidR="00056AAB" w:rsidRPr="00C3429B" w:rsidRDefault="00056AAB" w:rsidP="00870C22">
      <w:pPr>
        <w:spacing w:after="120"/>
        <w:jc w:val="both"/>
        <w:textAlignment w:val="baseline"/>
        <w:rPr>
          <w:rFonts w:asciiTheme="minorHAnsi" w:eastAsia="Times New Roman" w:hAnsiTheme="minorHAnsi"/>
          <w:color w:val="000000"/>
          <w:spacing w:val="2"/>
        </w:rPr>
      </w:pPr>
    </w:p>
    <w:sectPr w:rsidR="00056AAB" w:rsidRPr="00C3429B" w:rsidSect="00AD035F">
      <w:pgSz w:w="11904" w:h="16843"/>
      <w:pgMar w:top="1418" w:right="1418"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 w:name="Times New Roman">
    <w:charset w:val="00"/>
    <w:pitch w:val="variable"/>
    <w:family w:val="roman"/>
    <w:panose1 w:val="02020603050405020304"/>
  </w:font>
  <w:font w:name="Symbo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B4E5C"/>
    <w:multiLevelType w:val="hybridMultilevel"/>
    <w:tmpl w:val="8282418A"/>
    <w:lvl w:ilvl="0" w:tplc="9EE2D7E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D5081E"/>
    <w:multiLevelType w:val="hybridMultilevel"/>
    <w:tmpl w:val="A1AA66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09764CB"/>
    <w:multiLevelType w:val="hybridMultilevel"/>
    <w:tmpl w:val="648E0C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E63DD5"/>
    <w:multiLevelType w:val="hybridMultilevel"/>
    <w:tmpl w:val="7E6A3C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7CF6DA7"/>
    <w:multiLevelType w:val="hybridMultilevel"/>
    <w:tmpl w:val="5952024C"/>
    <w:lvl w:ilvl="0" w:tplc="8BDE2DF4">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8924DB"/>
    <w:multiLevelType w:val="hybridMultilevel"/>
    <w:tmpl w:val="38A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293A6A"/>
    <w:multiLevelType w:val="hybridMultilevel"/>
    <w:tmpl w:val="68D8974C"/>
    <w:lvl w:ilvl="0" w:tplc="0C0A0001">
      <w:start w:val="1"/>
      <w:numFmt w:val="bullet"/>
      <w:lvlText w:val=""/>
      <w:lvlJc w:val="left"/>
      <w:pPr>
        <w:ind w:left="1080" w:hanging="360"/>
      </w:pPr>
      <w:rPr>
        <w:rFonts w:ascii="Symbol" w:hAnsi="Symbol" w:hint="default"/>
      </w:rPr>
    </w:lvl>
    <w:lvl w:ilvl="1" w:tplc="FEFEF88C">
      <w:numFmt w:val="bullet"/>
      <w:lvlText w:val="−"/>
      <w:lvlJc w:val="left"/>
      <w:pPr>
        <w:ind w:left="1800" w:hanging="360"/>
      </w:pPr>
      <w:rPr>
        <w:rFonts w:ascii="Symbol" w:eastAsia="Symbol" w:hAnsi="Symbol" w:cs="Times New Roman"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7CBE5E98"/>
    <w:multiLevelType w:val="multilevel"/>
    <w:tmpl w:val="6BF032CE"/>
    <w:lvl w:ilvl="0">
      <w:start w:val="1"/>
      <w:numFmt w:val="lowerLetter"/>
      <w:lvlText w:val="%1)"/>
      <w:lvlJc w:val="left"/>
      <w:pPr>
        <w:tabs>
          <w:tab w:val="left" w:pos="288"/>
        </w:tabs>
        <w:ind w:left="720"/>
      </w:pPr>
      <w:rPr>
        <w:rFonts w:ascii="Times New Roman" w:eastAsia="Times New Roman" w:hAnsi="Times New Roman"/>
        <w:i/>
        <w:strike w:val="0"/>
        <w:color w:val="000000"/>
        <w:spacing w:val="-1"/>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2145648">
    <w:abstractNumId w:val="7"/>
  </w:num>
  <w:num w:numId="2" w16cid:durableId="122771378">
    <w:abstractNumId w:val="6"/>
  </w:num>
  <w:num w:numId="3" w16cid:durableId="851191015">
    <w:abstractNumId w:val="1"/>
  </w:num>
  <w:num w:numId="4" w16cid:durableId="1200095656">
    <w:abstractNumId w:val="5"/>
  </w:num>
  <w:num w:numId="5" w16cid:durableId="781075475">
    <w:abstractNumId w:val="3"/>
  </w:num>
  <w:num w:numId="6" w16cid:durableId="1567036530">
    <w:abstractNumId w:val="2"/>
  </w:num>
  <w:num w:numId="7" w16cid:durableId="153647272">
    <w:abstractNumId w:val="0"/>
  </w:num>
  <w:num w:numId="8" w16cid:durableId="6423936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AB"/>
    <w:rsid w:val="00002183"/>
    <w:rsid w:val="0003132D"/>
    <w:rsid w:val="0003636B"/>
    <w:rsid w:val="00056AAB"/>
    <w:rsid w:val="00066186"/>
    <w:rsid w:val="0008161F"/>
    <w:rsid w:val="000E2974"/>
    <w:rsid w:val="00104411"/>
    <w:rsid w:val="00130D08"/>
    <w:rsid w:val="00136068"/>
    <w:rsid w:val="0013710F"/>
    <w:rsid w:val="00152A30"/>
    <w:rsid w:val="001C12F0"/>
    <w:rsid w:val="001C2399"/>
    <w:rsid w:val="001D206B"/>
    <w:rsid w:val="001F1C94"/>
    <w:rsid w:val="00210209"/>
    <w:rsid w:val="002A3B32"/>
    <w:rsid w:val="002B1514"/>
    <w:rsid w:val="002C6DA3"/>
    <w:rsid w:val="002D0987"/>
    <w:rsid w:val="002D2E92"/>
    <w:rsid w:val="002E7538"/>
    <w:rsid w:val="0030003E"/>
    <w:rsid w:val="00342738"/>
    <w:rsid w:val="00365BA2"/>
    <w:rsid w:val="003667D0"/>
    <w:rsid w:val="00391221"/>
    <w:rsid w:val="003D354D"/>
    <w:rsid w:val="003F52BD"/>
    <w:rsid w:val="00401E8F"/>
    <w:rsid w:val="00434546"/>
    <w:rsid w:val="004459F4"/>
    <w:rsid w:val="00455175"/>
    <w:rsid w:val="0046432E"/>
    <w:rsid w:val="004B0B49"/>
    <w:rsid w:val="004B543F"/>
    <w:rsid w:val="004B66B6"/>
    <w:rsid w:val="004C145B"/>
    <w:rsid w:val="004C422D"/>
    <w:rsid w:val="004D7B7B"/>
    <w:rsid w:val="004E3665"/>
    <w:rsid w:val="004F7A2A"/>
    <w:rsid w:val="004F7A3E"/>
    <w:rsid w:val="00503AEE"/>
    <w:rsid w:val="00520FBD"/>
    <w:rsid w:val="0056199D"/>
    <w:rsid w:val="00561DF5"/>
    <w:rsid w:val="005941F1"/>
    <w:rsid w:val="005B5A4A"/>
    <w:rsid w:val="006258F9"/>
    <w:rsid w:val="00627472"/>
    <w:rsid w:val="00635ED0"/>
    <w:rsid w:val="0066229B"/>
    <w:rsid w:val="00671CE6"/>
    <w:rsid w:val="00684B40"/>
    <w:rsid w:val="006D4B4B"/>
    <w:rsid w:val="006F452F"/>
    <w:rsid w:val="00751B2B"/>
    <w:rsid w:val="00757E5B"/>
    <w:rsid w:val="007759A4"/>
    <w:rsid w:val="007779ED"/>
    <w:rsid w:val="007C0BC6"/>
    <w:rsid w:val="007C1533"/>
    <w:rsid w:val="007D1EA2"/>
    <w:rsid w:val="007D4EDB"/>
    <w:rsid w:val="007E79FC"/>
    <w:rsid w:val="007F2FE2"/>
    <w:rsid w:val="00812799"/>
    <w:rsid w:val="00816242"/>
    <w:rsid w:val="0085711C"/>
    <w:rsid w:val="00870C22"/>
    <w:rsid w:val="0087216F"/>
    <w:rsid w:val="00875897"/>
    <w:rsid w:val="00875F75"/>
    <w:rsid w:val="008A1694"/>
    <w:rsid w:val="008A5EAC"/>
    <w:rsid w:val="008F3B9A"/>
    <w:rsid w:val="008F448A"/>
    <w:rsid w:val="0090284B"/>
    <w:rsid w:val="0092197D"/>
    <w:rsid w:val="00941C30"/>
    <w:rsid w:val="00961FB7"/>
    <w:rsid w:val="0099627E"/>
    <w:rsid w:val="009A14BF"/>
    <w:rsid w:val="009C173C"/>
    <w:rsid w:val="00A03734"/>
    <w:rsid w:val="00A11575"/>
    <w:rsid w:val="00A23F54"/>
    <w:rsid w:val="00A4123A"/>
    <w:rsid w:val="00A44FF2"/>
    <w:rsid w:val="00A623A2"/>
    <w:rsid w:val="00A65116"/>
    <w:rsid w:val="00A8506E"/>
    <w:rsid w:val="00A86943"/>
    <w:rsid w:val="00A953ED"/>
    <w:rsid w:val="00AA0AA7"/>
    <w:rsid w:val="00AB2735"/>
    <w:rsid w:val="00AB4370"/>
    <w:rsid w:val="00AC62C6"/>
    <w:rsid w:val="00AD035F"/>
    <w:rsid w:val="00AD4F83"/>
    <w:rsid w:val="00AE18FE"/>
    <w:rsid w:val="00AE64D3"/>
    <w:rsid w:val="00B06375"/>
    <w:rsid w:val="00B15BD6"/>
    <w:rsid w:val="00B66C50"/>
    <w:rsid w:val="00B8158C"/>
    <w:rsid w:val="00B85F2E"/>
    <w:rsid w:val="00BC4DEC"/>
    <w:rsid w:val="00BF08C0"/>
    <w:rsid w:val="00C24625"/>
    <w:rsid w:val="00C25687"/>
    <w:rsid w:val="00C3429B"/>
    <w:rsid w:val="00C42C4C"/>
    <w:rsid w:val="00C56500"/>
    <w:rsid w:val="00C56E96"/>
    <w:rsid w:val="00C67310"/>
    <w:rsid w:val="00C67639"/>
    <w:rsid w:val="00C726AF"/>
    <w:rsid w:val="00C8179D"/>
    <w:rsid w:val="00CF1EDD"/>
    <w:rsid w:val="00D047F0"/>
    <w:rsid w:val="00D05ABE"/>
    <w:rsid w:val="00D06621"/>
    <w:rsid w:val="00D13113"/>
    <w:rsid w:val="00D32AC2"/>
    <w:rsid w:val="00D35EA2"/>
    <w:rsid w:val="00D3777E"/>
    <w:rsid w:val="00D42767"/>
    <w:rsid w:val="00D67613"/>
    <w:rsid w:val="00D85648"/>
    <w:rsid w:val="00DC7ED2"/>
    <w:rsid w:val="00DD25A7"/>
    <w:rsid w:val="00DF0C32"/>
    <w:rsid w:val="00E2216E"/>
    <w:rsid w:val="00E4356E"/>
    <w:rsid w:val="00E44A93"/>
    <w:rsid w:val="00E65D34"/>
    <w:rsid w:val="00E72C90"/>
    <w:rsid w:val="00E920E0"/>
    <w:rsid w:val="00EC6A57"/>
    <w:rsid w:val="00EE3876"/>
    <w:rsid w:val="00EE3B24"/>
    <w:rsid w:val="00EF3F4C"/>
    <w:rsid w:val="00F03832"/>
    <w:rsid w:val="00F04B63"/>
    <w:rsid w:val="00F82079"/>
    <w:rsid w:val="00F95923"/>
    <w:rsid w:val="00FC7390"/>
    <w:rsid w:val="00FD34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A2"/>
  <w15:docId w15:val="{5A6698CD-469E-4174-8D24-404E854D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B2B"/>
    <w:pPr>
      <w:ind w:left="720"/>
      <w:contextualSpacing/>
    </w:pPr>
  </w:style>
  <w:style w:type="paragraph" w:styleId="BalloonText">
    <w:name w:val="Balloon Text"/>
    <w:basedOn w:val="Normal"/>
    <w:link w:val="BalloonTextChar"/>
    <w:uiPriority w:val="99"/>
    <w:semiHidden/>
    <w:unhideWhenUsed/>
    <w:rsid w:val="00816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42"/>
    <w:rPr>
      <w:rFonts w:ascii="Segoe UI" w:hAnsi="Segoe UI" w:cs="Segoe UI"/>
      <w:sz w:val="18"/>
      <w:szCs w:val="18"/>
    </w:rPr>
  </w:style>
  <w:style w:type="paragraph" w:customStyle="1" w:styleId="parrafo">
    <w:name w:val="parrafo"/>
    <w:basedOn w:val="Normal"/>
    <w:rsid w:val="00671CE6"/>
    <w:pPr>
      <w:spacing w:before="100" w:beforeAutospacing="1" w:after="100" w:afterAutospacing="1"/>
    </w:pPr>
    <w:rPr>
      <w:rFonts w:eastAsia="Times New Roman"/>
      <w:sz w:val="24"/>
      <w:szCs w:val="24"/>
      <w:lang w:eastAsia="es-ES"/>
    </w:rPr>
  </w:style>
  <w:style w:type="character" w:styleId="CommentReference">
    <w:name w:val="annotation reference"/>
    <w:basedOn w:val="DefaultParagraphFont"/>
    <w:uiPriority w:val="99"/>
    <w:semiHidden/>
    <w:unhideWhenUsed/>
    <w:rsid w:val="0085711C"/>
    <w:rPr>
      <w:sz w:val="16"/>
      <w:szCs w:val="16"/>
    </w:rPr>
  </w:style>
  <w:style w:type="paragraph" w:styleId="CommentText">
    <w:name w:val="annotation text"/>
    <w:basedOn w:val="Normal"/>
    <w:link w:val="CommentTextChar"/>
    <w:uiPriority w:val="99"/>
    <w:unhideWhenUsed/>
    <w:rsid w:val="0085711C"/>
    <w:rPr>
      <w:sz w:val="20"/>
      <w:szCs w:val="20"/>
    </w:rPr>
  </w:style>
  <w:style w:type="character" w:customStyle="1" w:styleId="CommentTextChar">
    <w:name w:val="Comment Text Char"/>
    <w:basedOn w:val="DefaultParagraphFont"/>
    <w:link w:val="CommentText"/>
    <w:uiPriority w:val="99"/>
    <w:rsid w:val="0085711C"/>
    <w:rPr>
      <w:sz w:val="20"/>
      <w:szCs w:val="20"/>
    </w:rPr>
  </w:style>
  <w:style w:type="paragraph" w:styleId="CommentSubject">
    <w:name w:val="annotation subject"/>
    <w:basedOn w:val="CommentText"/>
    <w:next w:val="CommentText"/>
    <w:link w:val="CommentSubjectChar"/>
    <w:uiPriority w:val="99"/>
    <w:semiHidden/>
    <w:unhideWhenUsed/>
    <w:rsid w:val="0085711C"/>
    <w:rPr>
      <w:b/>
      <w:bCs/>
    </w:rPr>
  </w:style>
  <w:style w:type="character" w:customStyle="1" w:styleId="CommentSubjectChar">
    <w:name w:val="Comment Subject Char"/>
    <w:basedOn w:val="CommentTextChar"/>
    <w:link w:val="CommentSubject"/>
    <w:uiPriority w:val="99"/>
    <w:semiHidden/>
    <w:rsid w:val="0085711C"/>
    <w:rPr>
      <w:b/>
      <w:bCs/>
      <w:sz w:val="20"/>
      <w:szCs w:val="20"/>
    </w:rPr>
  </w:style>
  <w:style w:type="paragraph" w:styleId="Revision">
    <w:name w:val="Revision"/>
    <w:hidden/>
    <w:uiPriority w:val="99"/>
    <w:semiHidden/>
    <w:rsid w:val="00AE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340032">
      <w:bodyDiv w:val="1"/>
      <w:marLeft w:val="0"/>
      <w:marRight w:val="0"/>
      <w:marTop w:val="0"/>
      <w:marBottom w:val="0"/>
      <w:divBdr>
        <w:top w:val="none" w:sz="0" w:space="0" w:color="auto"/>
        <w:left w:val="none" w:sz="0" w:space="0" w:color="auto"/>
        <w:bottom w:val="none" w:sz="0" w:space="0" w:color="auto"/>
        <w:right w:val="none" w:sz="0" w:space="0" w:color="auto"/>
      </w:divBdr>
    </w:div>
    <w:div w:id="1107694819">
      <w:bodyDiv w:val="1"/>
      <w:marLeft w:val="0"/>
      <w:marRight w:val="0"/>
      <w:marTop w:val="0"/>
      <w:marBottom w:val="0"/>
      <w:divBdr>
        <w:top w:val="none" w:sz="0" w:space="0" w:color="auto"/>
        <w:left w:val="none" w:sz="0" w:space="0" w:color="auto"/>
        <w:bottom w:val="none" w:sz="0" w:space="0" w:color="auto"/>
        <w:right w:val="none" w:sz="0" w:space="0" w:color="auto"/>
      </w:divBdr>
    </w:div>
    <w:div w:id="1996643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8A3F-B80B-403D-ADAD-BBAEBBAA1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1592</Words>
  <Characters>9078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Groba López Mónica</dc:creator>
  <cp:lastModifiedBy>Anastasia Stavroulaki</cp:lastModifiedBy>
  <cp:revision>10</cp:revision>
  <cp:lastPrinted>2021-08-26T09:18:00Z</cp:lastPrinted>
  <dcterms:created xsi:type="dcterms:W3CDTF">2022-09-20T11:25:00Z</dcterms:created>
  <dcterms:modified xsi:type="dcterms:W3CDTF">2023-03-31T12:23:00Z</dcterms:modified>
</cp:coreProperties>
</file>